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73AFF" w14:textId="3ABB05B5" w:rsidR="007B4CDA" w:rsidRPr="008656A8" w:rsidRDefault="000B29AC" w:rsidP="008656A8">
      <w:pPr>
        <w:spacing w:line="360" w:lineRule="auto"/>
        <w:jc w:val="both"/>
        <w:rPr>
          <w:rFonts w:ascii="Calibri" w:hAnsi="Calibri" w:cs="Calibri"/>
          <w:b/>
          <w:i/>
          <w:color w:val="FF0000"/>
          <w:sz w:val="20"/>
          <w:szCs w:val="20"/>
          <w:lang w:val="id-ID"/>
        </w:rPr>
      </w:pPr>
      <w:r w:rsidRPr="008656A8">
        <w:rPr>
          <w:rFonts w:ascii="Calibri" w:hAnsi="Calibri" w:cs="Calibri"/>
          <w:b/>
          <w:i/>
          <w:color w:val="FF0000"/>
          <w:sz w:val="20"/>
          <w:szCs w:val="20"/>
          <w:lang w:val="id-ID"/>
        </w:rPr>
        <w:t>PRESS RELEASE</w:t>
      </w:r>
    </w:p>
    <w:p w14:paraId="6711F0E1" w14:textId="29C52494" w:rsidR="00F85FB1" w:rsidRDefault="00F85FB1" w:rsidP="00526DE6">
      <w:pPr>
        <w:spacing w:line="360" w:lineRule="auto"/>
        <w:jc w:val="center"/>
        <w:rPr>
          <w:rFonts w:ascii="Calibri" w:hAnsi="Calibri" w:cs="Calibri"/>
          <w:b/>
          <w:bCs/>
          <w:sz w:val="20"/>
          <w:szCs w:val="20"/>
          <w:lang w:val="en-ID"/>
        </w:rPr>
      </w:pPr>
      <w:r w:rsidRPr="00F85FB1">
        <w:rPr>
          <w:rFonts w:ascii="Calibri" w:hAnsi="Calibri" w:cs="Calibri"/>
          <w:b/>
          <w:bCs/>
          <w:sz w:val="20"/>
          <w:szCs w:val="20"/>
          <w:lang w:val="en-ID"/>
        </w:rPr>
        <w:t xml:space="preserve">TODAK Throne 2.0 Meluncur, Perkuat Transformasi </w:t>
      </w:r>
      <w:r w:rsidR="00FB6ADA" w:rsidRPr="00F85FB1">
        <w:rPr>
          <w:rFonts w:ascii="Calibri" w:hAnsi="Calibri" w:cs="Calibri"/>
          <w:b/>
          <w:bCs/>
          <w:sz w:val="20"/>
          <w:szCs w:val="20"/>
          <w:lang w:val="en-ID"/>
        </w:rPr>
        <w:t xml:space="preserve">TODAK </w:t>
      </w:r>
      <w:r w:rsidRPr="00F85FB1">
        <w:rPr>
          <w:rFonts w:ascii="Calibri" w:hAnsi="Calibri" w:cs="Calibri"/>
          <w:b/>
          <w:bCs/>
          <w:sz w:val="20"/>
          <w:szCs w:val="20"/>
          <w:lang w:val="en-ID"/>
        </w:rPr>
        <w:t>2.0 sebagai Global First Esports Lifestyle Performance Brand</w:t>
      </w:r>
    </w:p>
    <w:p w14:paraId="366DF5EB" w14:textId="7CAE2684" w:rsidR="00640353" w:rsidRPr="00640353" w:rsidRDefault="00F85FB1" w:rsidP="00640353">
      <w:pPr>
        <w:spacing w:line="360" w:lineRule="auto"/>
        <w:jc w:val="both"/>
        <w:rPr>
          <w:rFonts w:ascii="Calibri" w:hAnsi="Calibri" w:cs="Calibri"/>
          <w:sz w:val="20"/>
          <w:szCs w:val="20"/>
          <w:lang w:val="en-ID"/>
        </w:rPr>
      </w:pPr>
      <w:r w:rsidRPr="00F85FB1">
        <w:rPr>
          <w:rFonts w:ascii="Calibri" w:hAnsi="Calibri" w:cs="Calibri"/>
          <w:b/>
          <w:bCs/>
          <w:i/>
          <w:iCs/>
          <w:sz w:val="20"/>
          <w:szCs w:val="20"/>
          <w:lang w:val="en-ID"/>
        </w:rPr>
        <w:t>Jakarta, 4 Maret 2026 –</w:t>
      </w:r>
      <w:r w:rsidRPr="00F85FB1">
        <w:rPr>
          <w:rFonts w:ascii="Calibri" w:hAnsi="Calibri" w:cs="Calibri"/>
          <w:sz w:val="20"/>
          <w:szCs w:val="20"/>
          <w:lang w:val="en-ID"/>
        </w:rPr>
        <w:t xml:space="preserve"> </w:t>
      </w:r>
      <w:r w:rsidR="00640353" w:rsidRPr="00640353">
        <w:rPr>
          <w:rFonts w:ascii="Calibri" w:hAnsi="Calibri" w:cs="Calibri"/>
          <w:sz w:val="20"/>
          <w:szCs w:val="20"/>
          <w:lang w:val="en-ID"/>
        </w:rPr>
        <w:t xml:space="preserve">TODAK memasuki fase baru melalui </w:t>
      </w:r>
      <w:r w:rsidR="00640353" w:rsidRPr="00BD1194">
        <w:rPr>
          <w:rFonts w:ascii="Calibri" w:hAnsi="Calibri" w:cs="Calibri"/>
          <w:b/>
          <w:bCs/>
          <w:sz w:val="20"/>
          <w:szCs w:val="20"/>
          <w:lang w:val="en-ID"/>
        </w:rPr>
        <w:t>TODAK 2.0</w:t>
      </w:r>
      <w:r w:rsidR="00640353" w:rsidRPr="00640353">
        <w:rPr>
          <w:rFonts w:ascii="Calibri" w:hAnsi="Calibri" w:cs="Calibri"/>
          <w:sz w:val="20"/>
          <w:szCs w:val="20"/>
          <w:lang w:val="en-ID"/>
        </w:rPr>
        <w:t xml:space="preserve"> dengan fokus sebagai </w:t>
      </w:r>
      <w:r w:rsidR="00640353" w:rsidRPr="00BD1194">
        <w:rPr>
          <w:rFonts w:ascii="Calibri" w:hAnsi="Calibri" w:cs="Calibri"/>
          <w:i/>
          <w:iCs/>
          <w:sz w:val="20"/>
          <w:szCs w:val="20"/>
          <w:lang w:val="en-ID"/>
        </w:rPr>
        <w:t>brand esports lifestyle performance</w:t>
      </w:r>
      <w:r w:rsidR="00640353" w:rsidRPr="00640353">
        <w:rPr>
          <w:rFonts w:ascii="Calibri" w:hAnsi="Calibri" w:cs="Calibri"/>
          <w:sz w:val="20"/>
          <w:szCs w:val="20"/>
          <w:lang w:val="en-ID"/>
        </w:rPr>
        <w:t>. Penyesuaian strategi ini dilakukan untuk memperkuat pengembangan produk, kemitraan resmi dengan liga, serta distribusi yang lebih terstruktur di pasar Indonesia.</w:t>
      </w:r>
    </w:p>
    <w:p w14:paraId="33800566" w14:textId="1F6AA411" w:rsidR="00640353" w:rsidRPr="00640353" w:rsidRDefault="00640353" w:rsidP="00640353">
      <w:pPr>
        <w:spacing w:line="360" w:lineRule="auto"/>
        <w:jc w:val="both"/>
        <w:rPr>
          <w:rFonts w:ascii="Calibri" w:hAnsi="Calibri" w:cs="Calibri"/>
          <w:sz w:val="20"/>
          <w:szCs w:val="20"/>
          <w:lang w:val="en-ID"/>
        </w:rPr>
      </w:pPr>
      <w:r w:rsidRPr="00640353">
        <w:rPr>
          <w:rFonts w:ascii="Calibri" w:hAnsi="Calibri" w:cs="Calibri"/>
          <w:sz w:val="20"/>
          <w:szCs w:val="20"/>
          <w:lang w:val="en-ID"/>
        </w:rPr>
        <w:t xml:space="preserve">Sejalan dengan arah tersebut, per 1 Januari 2026 TODAK mengakhiri operasional divisi </w:t>
      </w:r>
      <w:r w:rsidRPr="00BD1194">
        <w:rPr>
          <w:rFonts w:ascii="Calibri" w:hAnsi="Calibri" w:cs="Calibri"/>
          <w:i/>
          <w:iCs/>
          <w:sz w:val="20"/>
          <w:szCs w:val="20"/>
          <w:lang w:val="en-ID"/>
        </w:rPr>
        <w:t>esports</w:t>
      </w:r>
      <w:r w:rsidR="00BD1194">
        <w:rPr>
          <w:rFonts w:ascii="Calibri" w:hAnsi="Calibri" w:cs="Calibri"/>
          <w:sz w:val="20"/>
          <w:szCs w:val="20"/>
          <w:lang w:val="en-ID"/>
        </w:rPr>
        <w:t>-</w:t>
      </w:r>
      <w:r w:rsidRPr="00640353">
        <w:rPr>
          <w:rFonts w:ascii="Calibri" w:hAnsi="Calibri" w:cs="Calibri"/>
          <w:sz w:val="20"/>
          <w:szCs w:val="20"/>
          <w:lang w:val="en-ID"/>
        </w:rPr>
        <w:t xml:space="preserve">nya. Langkah ini menjadi bagian dari reposisi jangka panjang agar perusahaan dapat memusatkan sumber daya pada pembangunan lini produk dan kolaborasi strategis di industri </w:t>
      </w:r>
      <w:r w:rsidRPr="00885E1F">
        <w:rPr>
          <w:rFonts w:ascii="Calibri" w:hAnsi="Calibri" w:cs="Calibri"/>
          <w:i/>
          <w:iCs/>
          <w:sz w:val="20"/>
          <w:szCs w:val="20"/>
          <w:lang w:val="en-ID"/>
        </w:rPr>
        <w:t>esports</w:t>
      </w:r>
      <w:r w:rsidRPr="00640353">
        <w:rPr>
          <w:rFonts w:ascii="Calibri" w:hAnsi="Calibri" w:cs="Calibri"/>
          <w:sz w:val="20"/>
          <w:szCs w:val="20"/>
          <w:lang w:val="en-ID"/>
        </w:rPr>
        <w:t>.</w:t>
      </w:r>
    </w:p>
    <w:p w14:paraId="4E15FBF8" w14:textId="311F313C" w:rsidR="00640353" w:rsidRPr="00640353" w:rsidRDefault="00640353" w:rsidP="00640353">
      <w:pPr>
        <w:spacing w:line="360" w:lineRule="auto"/>
        <w:jc w:val="both"/>
        <w:rPr>
          <w:rFonts w:ascii="Calibri" w:hAnsi="Calibri" w:cs="Calibri"/>
          <w:sz w:val="20"/>
          <w:szCs w:val="20"/>
          <w:lang w:val="en-ID"/>
        </w:rPr>
      </w:pPr>
      <w:r w:rsidRPr="00640353">
        <w:rPr>
          <w:rFonts w:ascii="Calibri" w:hAnsi="Calibri" w:cs="Calibri"/>
          <w:i/>
          <w:iCs/>
          <w:sz w:val="20"/>
          <w:szCs w:val="20"/>
          <w:lang w:val="en-ID"/>
        </w:rPr>
        <w:t>“TODAK dibangun dari semangat kompetitif dan komunitas. Memasuki era 2.0, kami tidak meninggalkan esports — kami memperluasnya. Fokus kami kini adalah membangun brand performance lifestyle yang lahir dari Asia Tenggara dan mampu bersaing di panggung global. Ini bukan akhir perjalanan, melainkan evolusi yang lebih besar dan berkelanjutan.”</w:t>
      </w:r>
      <w:r w:rsidRPr="00640353">
        <w:rPr>
          <w:rFonts w:ascii="Calibri" w:hAnsi="Calibri" w:cs="Calibri"/>
          <w:sz w:val="20"/>
          <w:szCs w:val="20"/>
          <w:lang w:val="en-ID"/>
        </w:rPr>
        <w:t xml:space="preserve"> </w:t>
      </w:r>
      <w:r>
        <w:rPr>
          <w:rFonts w:ascii="Calibri" w:hAnsi="Calibri" w:cs="Calibri"/>
          <w:sz w:val="20"/>
          <w:szCs w:val="20"/>
          <w:lang w:val="en-ID"/>
        </w:rPr>
        <w:t>u</w:t>
      </w:r>
      <w:r w:rsidRPr="00640353">
        <w:rPr>
          <w:rFonts w:ascii="Calibri" w:hAnsi="Calibri" w:cs="Calibri"/>
          <w:sz w:val="20"/>
          <w:szCs w:val="20"/>
          <w:lang w:val="en-ID"/>
        </w:rPr>
        <w:t xml:space="preserve">jar </w:t>
      </w:r>
      <w:r w:rsidRPr="00640353">
        <w:rPr>
          <w:rFonts w:ascii="Calibri" w:hAnsi="Calibri" w:cs="Calibri"/>
          <w:b/>
          <w:bCs/>
          <w:sz w:val="20"/>
          <w:szCs w:val="20"/>
          <w:lang w:val="en-ID"/>
        </w:rPr>
        <w:t>Azlan Zainal, Founder TODAK</w:t>
      </w:r>
    </w:p>
    <w:p w14:paraId="3C7033FB" w14:textId="77777777" w:rsidR="00640353" w:rsidRPr="00640353" w:rsidRDefault="00640353" w:rsidP="00640353">
      <w:pPr>
        <w:spacing w:line="360" w:lineRule="auto"/>
        <w:jc w:val="both"/>
        <w:rPr>
          <w:rFonts w:ascii="Calibri" w:hAnsi="Calibri" w:cs="Calibri"/>
          <w:b/>
          <w:bCs/>
          <w:sz w:val="20"/>
          <w:szCs w:val="20"/>
          <w:lang w:val="en-ID"/>
        </w:rPr>
      </w:pPr>
      <w:r w:rsidRPr="00640353">
        <w:rPr>
          <w:rFonts w:ascii="Calibri" w:hAnsi="Calibri" w:cs="Calibri"/>
          <w:b/>
          <w:bCs/>
          <w:sz w:val="20"/>
          <w:szCs w:val="20"/>
          <w:lang w:val="en-ID"/>
        </w:rPr>
        <w:t>Identitas Visual Baru</w:t>
      </w:r>
    </w:p>
    <w:p w14:paraId="52B1C7FF" w14:textId="2831C7A9" w:rsidR="00640353" w:rsidRPr="00640353" w:rsidRDefault="00640353" w:rsidP="00640353">
      <w:pPr>
        <w:spacing w:line="360" w:lineRule="auto"/>
        <w:jc w:val="both"/>
        <w:rPr>
          <w:rFonts w:ascii="Calibri" w:hAnsi="Calibri" w:cs="Calibri"/>
          <w:sz w:val="20"/>
          <w:szCs w:val="20"/>
          <w:lang w:val="en-ID"/>
        </w:rPr>
      </w:pPr>
      <w:r w:rsidRPr="00640353">
        <w:rPr>
          <w:rFonts w:ascii="Calibri" w:hAnsi="Calibri" w:cs="Calibri"/>
          <w:sz w:val="20"/>
          <w:szCs w:val="20"/>
          <w:lang w:val="en-ID"/>
        </w:rPr>
        <w:t>TODAK juga memperkenalkan pembaruan identitas visual melalui elemen “</w:t>
      </w:r>
      <w:r w:rsidRPr="00BD1194">
        <w:rPr>
          <w:rFonts w:ascii="Calibri" w:hAnsi="Calibri" w:cs="Calibri"/>
          <w:i/>
          <w:iCs/>
          <w:sz w:val="20"/>
          <w:szCs w:val="20"/>
          <w:lang w:val="en-ID"/>
        </w:rPr>
        <w:t>Battle Scar</w:t>
      </w:r>
      <w:r w:rsidRPr="00640353">
        <w:rPr>
          <w:rFonts w:ascii="Calibri" w:hAnsi="Calibri" w:cs="Calibri"/>
          <w:sz w:val="20"/>
          <w:szCs w:val="20"/>
          <w:lang w:val="en-ID"/>
        </w:rPr>
        <w:t xml:space="preserve">” pada logo. Elemen tersebut merepresentasikan perjalanan dan proses pengembangan </w:t>
      </w:r>
      <w:r w:rsidRPr="00BD1194">
        <w:rPr>
          <w:rFonts w:ascii="Calibri" w:hAnsi="Calibri" w:cs="Calibri"/>
          <w:i/>
          <w:iCs/>
          <w:sz w:val="20"/>
          <w:szCs w:val="20"/>
          <w:lang w:val="en-ID"/>
        </w:rPr>
        <w:t>brand</w:t>
      </w:r>
      <w:r w:rsidRPr="00640353">
        <w:rPr>
          <w:rFonts w:ascii="Calibri" w:hAnsi="Calibri" w:cs="Calibri"/>
          <w:sz w:val="20"/>
          <w:szCs w:val="20"/>
          <w:lang w:val="en-ID"/>
        </w:rPr>
        <w:t>, sekaligus menjadi penanda tahap baru dalam penguatan perusahaan.</w:t>
      </w:r>
    </w:p>
    <w:p w14:paraId="0952551C" w14:textId="77777777" w:rsidR="00640353" w:rsidRPr="00640353" w:rsidRDefault="00640353" w:rsidP="00640353">
      <w:pPr>
        <w:spacing w:line="360" w:lineRule="auto"/>
        <w:jc w:val="both"/>
        <w:rPr>
          <w:rFonts w:ascii="Calibri" w:hAnsi="Calibri" w:cs="Calibri"/>
          <w:b/>
          <w:bCs/>
          <w:sz w:val="20"/>
          <w:szCs w:val="20"/>
          <w:lang w:val="en-ID"/>
        </w:rPr>
      </w:pPr>
      <w:r w:rsidRPr="00640353">
        <w:rPr>
          <w:rFonts w:ascii="Calibri" w:hAnsi="Calibri" w:cs="Calibri"/>
          <w:b/>
          <w:bCs/>
          <w:sz w:val="20"/>
          <w:szCs w:val="20"/>
          <w:lang w:val="en-ID"/>
        </w:rPr>
        <w:t>Kemitraan MPL Indonesia 2026</w:t>
      </w:r>
    </w:p>
    <w:p w14:paraId="3697D3FC" w14:textId="77777777" w:rsidR="00640353" w:rsidRPr="00640353" w:rsidRDefault="00640353" w:rsidP="00640353">
      <w:pPr>
        <w:spacing w:line="360" w:lineRule="auto"/>
        <w:jc w:val="both"/>
        <w:rPr>
          <w:rFonts w:ascii="Calibri" w:hAnsi="Calibri" w:cs="Calibri"/>
          <w:sz w:val="20"/>
          <w:szCs w:val="20"/>
          <w:lang w:val="en-ID"/>
        </w:rPr>
      </w:pPr>
      <w:r w:rsidRPr="00640353">
        <w:rPr>
          <w:rFonts w:ascii="Calibri" w:hAnsi="Calibri" w:cs="Calibri"/>
          <w:sz w:val="20"/>
          <w:szCs w:val="20"/>
          <w:lang w:val="en-ID"/>
        </w:rPr>
        <w:t xml:space="preserve">Sebagai bentuk komitmen terhadap ekosistem </w:t>
      </w:r>
      <w:r w:rsidRPr="005E4746">
        <w:rPr>
          <w:rFonts w:ascii="Calibri" w:hAnsi="Calibri" w:cs="Calibri"/>
          <w:i/>
          <w:iCs/>
          <w:sz w:val="20"/>
          <w:szCs w:val="20"/>
          <w:lang w:val="en-ID"/>
        </w:rPr>
        <w:t>esports</w:t>
      </w:r>
      <w:r w:rsidRPr="00640353">
        <w:rPr>
          <w:rFonts w:ascii="Calibri" w:hAnsi="Calibri" w:cs="Calibri"/>
          <w:sz w:val="20"/>
          <w:szCs w:val="20"/>
          <w:lang w:val="en-ID"/>
        </w:rPr>
        <w:t xml:space="preserve"> nasional, TODAK 2.0 ditunjuk sebagai </w:t>
      </w:r>
      <w:r w:rsidRPr="005E4746">
        <w:rPr>
          <w:rFonts w:ascii="Calibri" w:hAnsi="Calibri" w:cs="Calibri"/>
          <w:i/>
          <w:iCs/>
          <w:sz w:val="20"/>
          <w:szCs w:val="20"/>
          <w:lang w:val="en-ID"/>
        </w:rPr>
        <w:t>Official Gaming Chair &amp; Official Merchandise Partner</w:t>
      </w:r>
      <w:r w:rsidRPr="00640353">
        <w:rPr>
          <w:rFonts w:ascii="Calibri" w:hAnsi="Calibri" w:cs="Calibri"/>
          <w:sz w:val="20"/>
          <w:szCs w:val="20"/>
          <w:lang w:val="en-ID"/>
        </w:rPr>
        <w:t xml:space="preserve"> untuk MPL Indonesia dan MDL Indonesia selama dua musim kompetisi 2026. Kerja sama ini mencakup penyediaan kursi </w:t>
      </w:r>
      <w:r w:rsidRPr="00885E1F">
        <w:rPr>
          <w:rFonts w:ascii="Calibri" w:hAnsi="Calibri" w:cs="Calibri"/>
          <w:i/>
          <w:iCs/>
          <w:sz w:val="20"/>
          <w:szCs w:val="20"/>
          <w:lang w:val="en-ID"/>
        </w:rPr>
        <w:t>gaming</w:t>
      </w:r>
      <w:r w:rsidRPr="00640353">
        <w:rPr>
          <w:rFonts w:ascii="Calibri" w:hAnsi="Calibri" w:cs="Calibri"/>
          <w:sz w:val="20"/>
          <w:szCs w:val="20"/>
          <w:lang w:val="en-ID"/>
        </w:rPr>
        <w:t xml:space="preserve"> resmi di panggung pertandingan, pengembangan </w:t>
      </w:r>
      <w:r w:rsidRPr="005E4746">
        <w:rPr>
          <w:rFonts w:ascii="Calibri" w:hAnsi="Calibri" w:cs="Calibri"/>
          <w:i/>
          <w:iCs/>
          <w:sz w:val="20"/>
          <w:szCs w:val="20"/>
          <w:lang w:val="en-ID"/>
        </w:rPr>
        <w:t>merchandise</w:t>
      </w:r>
      <w:r w:rsidRPr="00640353">
        <w:rPr>
          <w:rFonts w:ascii="Calibri" w:hAnsi="Calibri" w:cs="Calibri"/>
          <w:sz w:val="20"/>
          <w:szCs w:val="20"/>
          <w:lang w:val="en-ID"/>
        </w:rPr>
        <w:t xml:space="preserve"> resmi liga, serta berbagai aktivasi komunitas sepanjang musim berjalan.</w:t>
      </w:r>
    </w:p>
    <w:p w14:paraId="6177B3BF" w14:textId="45D8BE12" w:rsidR="00640353" w:rsidRPr="0036347A" w:rsidRDefault="00640353" w:rsidP="00640353">
      <w:pPr>
        <w:spacing w:line="360" w:lineRule="auto"/>
        <w:jc w:val="both"/>
        <w:rPr>
          <w:rFonts w:ascii="Calibri" w:hAnsi="Calibri" w:cs="Calibri"/>
          <w:b/>
          <w:bCs/>
          <w:sz w:val="20"/>
          <w:szCs w:val="20"/>
          <w:lang w:val="en-ID"/>
        </w:rPr>
      </w:pPr>
      <w:r w:rsidRPr="00640353">
        <w:rPr>
          <w:rFonts w:ascii="Calibri" w:hAnsi="Calibri" w:cs="Calibri"/>
          <w:i/>
          <w:iCs/>
          <w:sz w:val="20"/>
          <w:szCs w:val="20"/>
          <w:lang w:val="en-ID"/>
        </w:rPr>
        <w:t>“Keikutsertaan kami di MPL adalah bagian dari strategi jangka panjang TODAK 2.0 untuk tumbuh bersama ekosistem esports Indonesia. Kami ingin menghadirkan produk dan merchandise yang tidak hanya relevan secara lifestyle, tetapi juga mendukung performa kompetitif dengan standar kualitas global. MPL menjadi ruang kolaborasi bagi kami untuk terus berkembang dan berkontribusi secara nyata.”</w:t>
      </w:r>
      <w:r w:rsidRPr="00640353">
        <w:rPr>
          <w:rFonts w:ascii="Calibri" w:hAnsi="Calibri" w:cs="Calibri"/>
          <w:sz w:val="20"/>
          <w:szCs w:val="20"/>
          <w:lang w:val="en-ID"/>
        </w:rPr>
        <w:t xml:space="preserve"> </w:t>
      </w:r>
      <w:r>
        <w:rPr>
          <w:rFonts w:ascii="Calibri" w:hAnsi="Calibri" w:cs="Calibri"/>
          <w:sz w:val="20"/>
          <w:szCs w:val="20"/>
          <w:lang w:val="en-ID"/>
        </w:rPr>
        <w:t>j</w:t>
      </w:r>
      <w:r w:rsidRPr="00640353">
        <w:rPr>
          <w:rFonts w:ascii="Calibri" w:hAnsi="Calibri" w:cs="Calibri"/>
          <w:sz w:val="20"/>
          <w:szCs w:val="20"/>
          <w:lang w:val="en-ID"/>
        </w:rPr>
        <w:t xml:space="preserve">elas </w:t>
      </w:r>
      <w:r w:rsidRPr="00640353">
        <w:rPr>
          <w:rFonts w:ascii="Calibri" w:hAnsi="Calibri" w:cs="Calibri"/>
          <w:b/>
          <w:bCs/>
          <w:sz w:val="20"/>
          <w:szCs w:val="20"/>
          <w:lang w:val="en-ID"/>
        </w:rPr>
        <w:t>Shinta W. Dhanuwardoyo, Presiden Direktur/Co-Founder, PT TODAK Nusantara Group</w:t>
      </w:r>
    </w:p>
    <w:p w14:paraId="16C2E5C7" w14:textId="5D4E18D4" w:rsidR="00640353" w:rsidRPr="00640353" w:rsidRDefault="00640353" w:rsidP="00640353">
      <w:pPr>
        <w:spacing w:line="360" w:lineRule="auto"/>
        <w:jc w:val="both"/>
        <w:rPr>
          <w:rFonts w:ascii="Calibri" w:hAnsi="Calibri" w:cs="Calibri"/>
          <w:b/>
          <w:bCs/>
          <w:sz w:val="20"/>
          <w:szCs w:val="20"/>
          <w:lang w:val="en-ID"/>
        </w:rPr>
      </w:pPr>
      <w:r w:rsidRPr="00640353">
        <w:rPr>
          <w:rFonts w:ascii="Calibri" w:hAnsi="Calibri" w:cs="Calibri"/>
          <w:b/>
          <w:bCs/>
          <w:sz w:val="20"/>
          <w:szCs w:val="20"/>
          <w:lang w:val="en-ID"/>
        </w:rPr>
        <w:t>Peluncuran TODAK Throne 2.0</w:t>
      </w:r>
    </w:p>
    <w:p w14:paraId="4DF5B3EC" w14:textId="77777777" w:rsidR="00640353" w:rsidRPr="00640353" w:rsidRDefault="00640353" w:rsidP="00640353">
      <w:pPr>
        <w:spacing w:line="360" w:lineRule="auto"/>
        <w:jc w:val="both"/>
        <w:rPr>
          <w:rFonts w:ascii="Calibri" w:hAnsi="Calibri" w:cs="Calibri"/>
          <w:sz w:val="20"/>
          <w:szCs w:val="20"/>
          <w:lang w:val="en-ID"/>
        </w:rPr>
      </w:pPr>
      <w:r w:rsidRPr="00640353">
        <w:rPr>
          <w:rFonts w:ascii="Calibri" w:hAnsi="Calibri" w:cs="Calibri"/>
          <w:sz w:val="20"/>
          <w:szCs w:val="20"/>
          <w:lang w:val="en-ID"/>
        </w:rPr>
        <w:t xml:space="preserve">Sejalan dengan kemitraan tersebut, TODAK meluncurkan TODAK </w:t>
      </w:r>
      <w:r w:rsidRPr="005E4746">
        <w:rPr>
          <w:rFonts w:ascii="Calibri" w:hAnsi="Calibri" w:cs="Calibri"/>
          <w:i/>
          <w:iCs/>
          <w:sz w:val="20"/>
          <w:szCs w:val="20"/>
          <w:lang w:val="en-ID"/>
        </w:rPr>
        <w:t xml:space="preserve">Throne </w:t>
      </w:r>
      <w:r w:rsidRPr="00640353">
        <w:rPr>
          <w:rFonts w:ascii="Calibri" w:hAnsi="Calibri" w:cs="Calibri"/>
          <w:sz w:val="20"/>
          <w:szCs w:val="20"/>
          <w:lang w:val="en-ID"/>
        </w:rPr>
        <w:t xml:space="preserve">2.0 sebagai generasi terbaru kursi </w:t>
      </w:r>
      <w:r w:rsidRPr="005E4746">
        <w:rPr>
          <w:rFonts w:ascii="Calibri" w:hAnsi="Calibri" w:cs="Calibri"/>
          <w:i/>
          <w:iCs/>
          <w:sz w:val="20"/>
          <w:szCs w:val="20"/>
          <w:lang w:val="en-ID"/>
        </w:rPr>
        <w:t>gaming</w:t>
      </w:r>
      <w:r w:rsidRPr="00640353">
        <w:rPr>
          <w:rFonts w:ascii="Calibri" w:hAnsi="Calibri" w:cs="Calibri"/>
          <w:sz w:val="20"/>
          <w:szCs w:val="20"/>
          <w:lang w:val="en-ID"/>
        </w:rPr>
        <w:t xml:space="preserve"> yang dirancang untuk aktivitas dengan durasi panjang. Hadir dengan penyegaran desain dan pilihan warna </w:t>
      </w:r>
      <w:r w:rsidRPr="005E4746">
        <w:rPr>
          <w:rFonts w:ascii="Calibri" w:hAnsi="Calibri" w:cs="Calibri"/>
          <w:i/>
          <w:iCs/>
          <w:sz w:val="20"/>
          <w:szCs w:val="20"/>
          <w:lang w:val="en-ID"/>
        </w:rPr>
        <w:t xml:space="preserve">white, </w:t>
      </w:r>
      <w:r w:rsidRPr="005E4746">
        <w:rPr>
          <w:rFonts w:ascii="Calibri" w:hAnsi="Calibri" w:cs="Calibri"/>
          <w:i/>
          <w:iCs/>
          <w:sz w:val="20"/>
          <w:szCs w:val="20"/>
          <w:lang w:val="en-ID"/>
        </w:rPr>
        <w:lastRenderedPageBreak/>
        <w:t>grey, black on black, white logo edition</w:t>
      </w:r>
      <w:r w:rsidRPr="00640353">
        <w:rPr>
          <w:rFonts w:ascii="Calibri" w:hAnsi="Calibri" w:cs="Calibri"/>
          <w:sz w:val="20"/>
          <w:szCs w:val="20"/>
          <w:lang w:val="en-ID"/>
        </w:rPr>
        <w:t xml:space="preserve">, serta edisi kolaborasi MPL, </w:t>
      </w:r>
      <w:r w:rsidRPr="005E4746">
        <w:rPr>
          <w:rFonts w:ascii="Calibri" w:hAnsi="Calibri" w:cs="Calibri"/>
          <w:i/>
          <w:iCs/>
          <w:sz w:val="20"/>
          <w:szCs w:val="20"/>
          <w:lang w:val="en-ID"/>
        </w:rPr>
        <w:t>Throne</w:t>
      </w:r>
      <w:r w:rsidRPr="00640353">
        <w:rPr>
          <w:rFonts w:ascii="Calibri" w:hAnsi="Calibri" w:cs="Calibri"/>
          <w:sz w:val="20"/>
          <w:szCs w:val="20"/>
          <w:lang w:val="en-ID"/>
        </w:rPr>
        <w:t xml:space="preserve"> 2.0 mendukung sesi bermain, </w:t>
      </w:r>
      <w:r w:rsidRPr="005E4746">
        <w:rPr>
          <w:rFonts w:ascii="Calibri" w:hAnsi="Calibri" w:cs="Calibri"/>
          <w:i/>
          <w:iCs/>
          <w:sz w:val="20"/>
          <w:szCs w:val="20"/>
          <w:lang w:val="en-ID"/>
        </w:rPr>
        <w:t>streaming</w:t>
      </w:r>
      <w:r w:rsidRPr="00640353">
        <w:rPr>
          <w:rFonts w:ascii="Calibri" w:hAnsi="Calibri" w:cs="Calibri"/>
          <w:sz w:val="20"/>
          <w:szCs w:val="20"/>
          <w:lang w:val="en-ID"/>
        </w:rPr>
        <w:t xml:space="preserve">, maupun bekerja dengan tetap mengedepankan desain ergonomis khas Todak, detail </w:t>
      </w:r>
      <w:r w:rsidRPr="005E4746">
        <w:rPr>
          <w:rFonts w:ascii="Calibri" w:hAnsi="Calibri" w:cs="Calibri"/>
          <w:i/>
          <w:iCs/>
          <w:sz w:val="20"/>
          <w:szCs w:val="20"/>
          <w:lang w:val="en-ID"/>
        </w:rPr>
        <w:t>finishing</w:t>
      </w:r>
      <w:r w:rsidRPr="00640353">
        <w:rPr>
          <w:rFonts w:ascii="Calibri" w:hAnsi="Calibri" w:cs="Calibri"/>
          <w:sz w:val="20"/>
          <w:szCs w:val="20"/>
          <w:lang w:val="en-ID"/>
        </w:rPr>
        <w:t xml:space="preserve"> yang lebih presisi, serta tampilan visual yang kuat.</w:t>
      </w:r>
    </w:p>
    <w:p w14:paraId="66043A27" w14:textId="77777777" w:rsidR="00640353" w:rsidRPr="00640353" w:rsidRDefault="00640353" w:rsidP="00640353">
      <w:pPr>
        <w:spacing w:line="360" w:lineRule="auto"/>
        <w:jc w:val="both"/>
        <w:rPr>
          <w:rFonts w:ascii="Calibri" w:hAnsi="Calibri" w:cs="Calibri"/>
          <w:sz w:val="20"/>
          <w:szCs w:val="20"/>
          <w:lang w:val="en-ID"/>
        </w:rPr>
      </w:pPr>
      <w:r w:rsidRPr="00640353">
        <w:rPr>
          <w:rFonts w:ascii="Calibri" w:hAnsi="Calibri" w:cs="Calibri"/>
          <w:sz w:val="20"/>
          <w:szCs w:val="20"/>
          <w:lang w:val="en-ID"/>
        </w:rPr>
        <w:t xml:space="preserve">Di Indonesia, distribusi resmi TODAK Throne 2.0 dipercayakan kepada PT Datascrip melalui jaringan ritel nasional dan berbagai </w:t>
      </w:r>
      <w:r w:rsidRPr="005E4746">
        <w:rPr>
          <w:rFonts w:ascii="Calibri" w:hAnsi="Calibri" w:cs="Calibri"/>
          <w:i/>
          <w:iCs/>
          <w:sz w:val="20"/>
          <w:szCs w:val="20"/>
          <w:lang w:val="en-ID"/>
        </w:rPr>
        <w:t>platform e-commerce</w:t>
      </w:r>
      <w:r w:rsidRPr="00640353">
        <w:rPr>
          <w:rFonts w:ascii="Calibri" w:hAnsi="Calibri" w:cs="Calibri"/>
          <w:sz w:val="20"/>
          <w:szCs w:val="20"/>
          <w:lang w:val="en-ID"/>
        </w:rPr>
        <w:t xml:space="preserve"> dengan dukungan layanan purnajual terpercaya.</w:t>
      </w:r>
    </w:p>
    <w:p w14:paraId="35CECDBE" w14:textId="518722FD" w:rsidR="00640353" w:rsidRPr="00640353" w:rsidRDefault="00640353" w:rsidP="00640353">
      <w:pPr>
        <w:spacing w:line="360" w:lineRule="auto"/>
        <w:jc w:val="both"/>
        <w:rPr>
          <w:rFonts w:ascii="Calibri" w:hAnsi="Calibri" w:cs="Calibri"/>
          <w:sz w:val="20"/>
          <w:szCs w:val="20"/>
          <w:lang w:val="en-ID"/>
        </w:rPr>
      </w:pPr>
      <w:r w:rsidRPr="00640353">
        <w:rPr>
          <w:rFonts w:ascii="Calibri" w:hAnsi="Calibri" w:cs="Calibri"/>
          <w:i/>
          <w:iCs/>
          <w:sz w:val="20"/>
          <w:szCs w:val="20"/>
          <w:lang w:val="en-ID"/>
        </w:rPr>
        <w:t>“Kami menyambut peluncuran TODAK Throne 2.0 sebagai momentum penting dalam perjalanan brand ini di Indonesia. PT Datascrip siap memastikan produk ini dapat diakses secara luas dengan standar layanan yang konsisten dan terpercaya,”</w:t>
      </w:r>
      <w:r w:rsidRPr="00640353">
        <w:rPr>
          <w:rFonts w:ascii="Calibri" w:hAnsi="Calibri" w:cs="Calibri"/>
          <w:sz w:val="20"/>
          <w:szCs w:val="20"/>
          <w:lang w:val="en-ID"/>
        </w:rPr>
        <w:t xml:space="preserve"> pungkas</w:t>
      </w:r>
      <w:r w:rsidRPr="00640353">
        <w:rPr>
          <w:rFonts w:ascii="Calibri" w:hAnsi="Calibri" w:cs="Calibri"/>
          <w:b/>
          <w:bCs/>
          <w:sz w:val="20"/>
          <w:szCs w:val="20"/>
          <w:lang w:val="en-ID"/>
        </w:rPr>
        <w:t xml:space="preserve"> Sintra Wong, Direktur PT Datascrip.</w:t>
      </w:r>
    </w:p>
    <w:p w14:paraId="59B7D082" w14:textId="77777777" w:rsidR="00640353" w:rsidRPr="00640353" w:rsidRDefault="00640353" w:rsidP="00640353">
      <w:pPr>
        <w:spacing w:line="360" w:lineRule="auto"/>
        <w:jc w:val="both"/>
        <w:rPr>
          <w:rFonts w:ascii="Calibri" w:hAnsi="Calibri" w:cs="Calibri"/>
          <w:b/>
          <w:bCs/>
          <w:sz w:val="20"/>
          <w:szCs w:val="20"/>
          <w:lang w:val="en-ID"/>
        </w:rPr>
      </w:pPr>
      <w:r w:rsidRPr="00640353">
        <w:rPr>
          <w:rFonts w:ascii="Calibri" w:hAnsi="Calibri" w:cs="Calibri"/>
          <w:b/>
          <w:bCs/>
          <w:sz w:val="20"/>
          <w:szCs w:val="20"/>
          <w:lang w:val="en-ID"/>
        </w:rPr>
        <w:t>Fokus Strategis TODAK 2.0</w:t>
      </w:r>
    </w:p>
    <w:p w14:paraId="7BC6E6EF" w14:textId="26457430" w:rsidR="00640353" w:rsidRPr="00640353" w:rsidRDefault="00640353" w:rsidP="00640353">
      <w:pPr>
        <w:spacing w:line="360" w:lineRule="auto"/>
        <w:jc w:val="both"/>
        <w:rPr>
          <w:rFonts w:ascii="Calibri" w:hAnsi="Calibri" w:cs="Calibri"/>
          <w:sz w:val="20"/>
          <w:szCs w:val="20"/>
          <w:lang w:val="en-ID"/>
        </w:rPr>
      </w:pPr>
      <w:r w:rsidRPr="00640353">
        <w:rPr>
          <w:rFonts w:ascii="Calibri" w:hAnsi="Calibri" w:cs="Calibri"/>
          <w:sz w:val="20"/>
          <w:szCs w:val="20"/>
          <w:lang w:val="en-ID"/>
        </w:rPr>
        <w:t>1.</w:t>
      </w:r>
      <w:r>
        <w:rPr>
          <w:rFonts w:ascii="Calibri" w:hAnsi="Calibri" w:cs="Calibri"/>
          <w:sz w:val="20"/>
          <w:szCs w:val="20"/>
          <w:lang w:val="en-ID"/>
        </w:rPr>
        <w:t xml:space="preserve"> </w:t>
      </w:r>
      <w:r w:rsidRPr="00640353">
        <w:rPr>
          <w:rFonts w:ascii="Calibri" w:hAnsi="Calibri" w:cs="Calibri"/>
          <w:i/>
          <w:iCs/>
          <w:sz w:val="20"/>
          <w:szCs w:val="20"/>
          <w:lang w:val="en-ID"/>
        </w:rPr>
        <w:t>Performance Products</w:t>
      </w:r>
      <w:r w:rsidRPr="00640353">
        <w:rPr>
          <w:rFonts w:ascii="Calibri" w:hAnsi="Calibri" w:cs="Calibri"/>
          <w:sz w:val="20"/>
          <w:szCs w:val="20"/>
          <w:lang w:val="en-ID"/>
        </w:rPr>
        <w:t xml:space="preserve"> – Pengembangan </w:t>
      </w:r>
      <w:r w:rsidRPr="005E4746">
        <w:rPr>
          <w:rFonts w:ascii="Calibri" w:hAnsi="Calibri" w:cs="Calibri"/>
          <w:i/>
          <w:iCs/>
          <w:sz w:val="20"/>
          <w:szCs w:val="20"/>
          <w:lang w:val="en-ID"/>
        </w:rPr>
        <w:t>gaming chair, gear</w:t>
      </w:r>
      <w:r w:rsidRPr="00640353">
        <w:rPr>
          <w:rFonts w:ascii="Calibri" w:hAnsi="Calibri" w:cs="Calibri"/>
          <w:sz w:val="20"/>
          <w:szCs w:val="20"/>
          <w:lang w:val="en-ID"/>
        </w:rPr>
        <w:t xml:space="preserve">, dan </w:t>
      </w:r>
      <w:r w:rsidRPr="005E4746">
        <w:rPr>
          <w:rFonts w:ascii="Calibri" w:hAnsi="Calibri" w:cs="Calibri"/>
          <w:i/>
          <w:iCs/>
          <w:sz w:val="20"/>
          <w:szCs w:val="20"/>
          <w:lang w:val="en-ID"/>
        </w:rPr>
        <w:t>apparel</w:t>
      </w:r>
      <w:r w:rsidRPr="00640353">
        <w:rPr>
          <w:rFonts w:ascii="Calibri" w:hAnsi="Calibri" w:cs="Calibri"/>
          <w:sz w:val="20"/>
          <w:szCs w:val="20"/>
          <w:lang w:val="en-ID"/>
        </w:rPr>
        <w:t xml:space="preserve"> berbasis fungsi dan daya tahan untuk mendukung sesi kompetitif.</w:t>
      </w:r>
    </w:p>
    <w:p w14:paraId="18966B9E" w14:textId="54D78E31" w:rsidR="00640353" w:rsidRPr="00640353" w:rsidRDefault="00640353" w:rsidP="00640353">
      <w:pPr>
        <w:spacing w:line="360" w:lineRule="auto"/>
        <w:jc w:val="both"/>
        <w:rPr>
          <w:rFonts w:ascii="Calibri" w:hAnsi="Calibri" w:cs="Calibri"/>
          <w:sz w:val="20"/>
          <w:szCs w:val="20"/>
          <w:lang w:val="en-ID"/>
        </w:rPr>
      </w:pPr>
      <w:r w:rsidRPr="00640353">
        <w:rPr>
          <w:rFonts w:ascii="Calibri" w:hAnsi="Calibri" w:cs="Calibri"/>
          <w:sz w:val="20"/>
          <w:szCs w:val="20"/>
          <w:lang w:val="en-ID"/>
        </w:rPr>
        <w:t>2.</w:t>
      </w:r>
      <w:r>
        <w:rPr>
          <w:rFonts w:ascii="Calibri" w:hAnsi="Calibri" w:cs="Calibri"/>
          <w:sz w:val="20"/>
          <w:szCs w:val="20"/>
          <w:lang w:val="en-ID"/>
        </w:rPr>
        <w:t xml:space="preserve"> </w:t>
      </w:r>
      <w:r w:rsidRPr="00640353">
        <w:rPr>
          <w:rFonts w:ascii="Calibri" w:hAnsi="Calibri" w:cs="Calibri"/>
          <w:i/>
          <w:iCs/>
          <w:sz w:val="20"/>
          <w:szCs w:val="20"/>
          <w:lang w:val="en-ID"/>
        </w:rPr>
        <w:t>League Partnerships</w:t>
      </w:r>
      <w:r w:rsidRPr="00640353">
        <w:rPr>
          <w:rFonts w:ascii="Calibri" w:hAnsi="Calibri" w:cs="Calibri"/>
          <w:sz w:val="20"/>
          <w:szCs w:val="20"/>
          <w:lang w:val="en-ID"/>
        </w:rPr>
        <w:t xml:space="preserve"> – Kolaborasi dengan liga dan turnamen melalui integrasi produk di panggung pertandingan serta pengembangan </w:t>
      </w:r>
      <w:r w:rsidRPr="00885E1F">
        <w:rPr>
          <w:rFonts w:ascii="Calibri" w:hAnsi="Calibri" w:cs="Calibri"/>
          <w:i/>
          <w:iCs/>
          <w:sz w:val="20"/>
          <w:szCs w:val="20"/>
          <w:lang w:val="en-ID"/>
        </w:rPr>
        <w:t>merchandise</w:t>
      </w:r>
      <w:r w:rsidRPr="00640353">
        <w:rPr>
          <w:rFonts w:ascii="Calibri" w:hAnsi="Calibri" w:cs="Calibri"/>
          <w:sz w:val="20"/>
          <w:szCs w:val="20"/>
          <w:lang w:val="en-ID"/>
        </w:rPr>
        <w:t xml:space="preserve"> resmi.</w:t>
      </w:r>
    </w:p>
    <w:p w14:paraId="5DAB4B90" w14:textId="5785DB18" w:rsidR="00640353" w:rsidRPr="00640353" w:rsidRDefault="00640353" w:rsidP="00640353">
      <w:pPr>
        <w:spacing w:line="360" w:lineRule="auto"/>
        <w:jc w:val="both"/>
        <w:rPr>
          <w:rFonts w:ascii="Calibri" w:hAnsi="Calibri" w:cs="Calibri"/>
          <w:sz w:val="20"/>
          <w:szCs w:val="20"/>
          <w:lang w:val="en-ID"/>
        </w:rPr>
      </w:pPr>
      <w:r w:rsidRPr="00640353">
        <w:rPr>
          <w:rFonts w:ascii="Calibri" w:hAnsi="Calibri" w:cs="Calibri"/>
          <w:sz w:val="20"/>
          <w:szCs w:val="20"/>
          <w:lang w:val="en-ID"/>
        </w:rPr>
        <w:t>3.</w:t>
      </w:r>
      <w:r>
        <w:rPr>
          <w:rFonts w:ascii="Calibri" w:hAnsi="Calibri" w:cs="Calibri"/>
          <w:sz w:val="20"/>
          <w:szCs w:val="20"/>
          <w:lang w:val="en-ID"/>
        </w:rPr>
        <w:t xml:space="preserve"> </w:t>
      </w:r>
      <w:r w:rsidRPr="00640353">
        <w:rPr>
          <w:rFonts w:ascii="Calibri" w:hAnsi="Calibri" w:cs="Calibri"/>
          <w:i/>
          <w:iCs/>
          <w:sz w:val="20"/>
          <w:szCs w:val="20"/>
          <w:lang w:val="en-ID"/>
        </w:rPr>
        <w:t>IP &amp; Collaboration</w:t>
      </w:r>
      <w:r w:rsidRPr="00640353">
        <w:rPr>
          <w:rFonts w:ascii="Calibri" w:hAnsi="Calibri" w:cs="Calibri"/>
          <w:sz w:val="20"/>
          <w:szCs w:val="20"/>
          <w:lang w:val="en-ID"/>
        </w:rPr>
        <w:t xml:space="preserve"> – Pengembangan kolaborasi kreatif dan inisiatif lintas industri untuk memperluas jangkauan brand.</w:t>
      </w:r>
    </w:p>
    <w:p w14:paraId="5BE55DAD" w14:textId="33A248F9" w:rsidR="00B37E16" w:rsidRDefault="00640353" w:rsidP="00BB57EA">
      <w:pPr>
        <w:spacing w:line="360" w:lineRule="auto"/>
        <w:jc w:val="both"/>
        <w:rPr>
          <w:rFonts w:ascii="Calibri" w:hAnsi="Calibri" w:cs="Calibri"/>
          <w:sz w:val="20"/>
          <w:szCs w:val="20"/>
          <w:lang w:val="en-ID"/>
        </w:rPr>
      </w:pPr>
      <w:r w:rsidRPr="00640353">
        <w:rPr>
          <w:rFonts w:ascii="Calibri" w:hAnsi="Calibri" w:cs="Calibri"/>
          <w:sz w:val="20"/>
          <w:szCs w:val="20"/>
          <w:lang w:val="en-ID"/>
        </w:rPr>
        <w:t xml:space="preserve">Melalui fase ini, TODAK memperkuat fokus pada pengembangan produk </w:t>
      </w:r>
      <w:r w:rsidRPr="00885E1F">
        <w:rPr>
          <w:rFonts w:ascii="Calibri" w:hAnsi="Calibri" w:cs="Calibri"/>
          <w:i/>
          <w:iCs/>
          <w:sz w:val="20"/>
          <w:szCs w:val="20"/>
          <w:lang w:val="en-ID"/>
        </w:rPr>
        <w:t>performance</w:t>
      </w:r>
      <w:r w:rsidRPr="00640353">
        <w:rPr>
          <w:rFonts w:ascii="Calibri" w:hAnsi="Calibri" w:cs="Calibri"/>
          <w:sz w:val="20"/>
          <w:szCs w:val="20"/>
          <w:lang w:val="en-ID"/>
        </w:rPr>
        <w:t xml:space="preserve">, kemitraan resmi dengan liga </w:t>
      </w:r>
      <w:r w:rsidRPr="00885E1F">
        <w:rPr>
          <w:rFonts w:ascii="Calibri" w:hAnsi="Calibri" w:cs="Calibri"/>
          <w:i/>
          <w:iCs/>
          <w:sz w:val="20"/>
          <w:szCs w:val="20"/>
          <w:lang w:val="en-ID"/>
        </w:rPr>
        <w:t>esports</w:t>
      </w:r>
      <w:r w:rsidRPr="00640353">
        <w:rPr>
          <w:rFonts w:ascii="Calibri" w:hAnsi="Calibri" w:cs="Calibri"/>
          <w:sz w:val="20"/>
          <w:szCs w:val="20"/>
          <w:lang w:val="en-ID"/>
        </w:rPr>
        <w:t>, serta distribusi nasional yang terstruktur sebagai fondasi pertumbuhan di Indonesia.</w:t>
      </w:r>
    </w:p>
    <w:p w14:paraId="31D2AA71" w14:textId="77777777" w:rsidR="00630488" w:rsidRPr="00B37E16" w:rsidRDefault="00630488" w:rsidP="00B37E16">
      <w:pPr>
        <w:spacing w:line="240" w:lineRule="auto"/>
        <w:ind w:right="238"/>
        <w:jc w:val="both"/>
        <w:rPr>
          <w:rFonts w:ascii="Calibri" w:hAnsi="Calibri" w:cs="Calibri"/>
          <w:b/>
          <w:bCs/>
          <w:sz w:val="20"/>
          <w:szCs w:val="20"/>
          <w:highlight w:val="yellow"/>
          <w:lang w:val="en-ID"/>
        </w:rPr>
      </w:pPr>
    </w:p>
    <w:p w14:paraId="2E632F12" w14:textId="0EAE8D60" w:rsidR="00AD40B4" w:rsidRPr="008656A8" w:rsidRDefault="00630488" w:rsidP="00061337">
      <w:pPr>
        <w:spacing w:line="360" w:lineRule="auto"/>
        <w:jc w:val="both"/>
        <w:rPr>
          <w:rFonts w:ascii="Calibri" w:hAnsi="Calibri" w:cs="Calibri"/>
          <w:sz w:val="20"/>
          <w:szCs w:val="20"/>
          <w:lang w:val="id-ID"/>
        </w:rPr>
      </w:pPr>
      <w:r>
        <w:rPr>
          <w:noProof/>
        </w:rPr>
        <w:drawing>
          <wp:inline distT="0" distB="0" distL="0" distR="0" wp14:anchorId="597249A8" wp14:editId="59254BAC">
            <wp:extent cx="5943600" cy="1632585"/>
            <wp:effectExtent l="0" t="0" r="0" b="5715"/>
            <wp:docPr id="1761550571" name="Picture 1">
              <a:extLst xmlns:a="http://schemas.openxmlformats.org/drawingml/2006/main">
                <a:ext uri="{FF2B5EF4-FFF2-40B4-BE49-F238E27FC236}">
                  <a16:creationId xmlns:a16="http://schemas.microsoft.com/office/drawing/2014/main" id="{56CAAA94-58A6-4820-BC3D-90E7E8D84C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550571" name="Picture 1">
                      <a:extLst>
                        <a:ext uri="{FF2B5EF4-FFF2-40B4-BE49-F238E27FC236}">
                          <a16:creationId xmlns:a16="http://schemas.microsoft.com/office/drawing/2014/main" id="{56CAAA94-58A6-4820-BC3D-90E7E8D84C65}"/>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943600" cy="1632585"/>
                    </a:xfrm>
                    <a:prstGeom prst="rect">
                      <a:avLst/>
                    </a:prstGeom>
                  </pic:spPr>
                </pic:pic>
              </a:graphicData>
            </a:graphic>
          </wp:inline>
        </w:drawing>
      </w:r>
    </w:p>
    <w:sectPr w:rsidR="00AD40B4" w:rsidRPr="008656A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63D00" w14:textId="77777777" w:rsidR="007D609C" w:rsidRDefault="007D609C" w:rsidP="000E457F">
      <w:pPr>
        <w:spacing w:after="0" w:line="240" w:lineRule="auto"/>
      </w:pPr>
      <w:r>
        <w:separator/>
      </w:r>
    </w:p>
  </w:endnote>
  <w:endnote w:type="continuationSeparator" w:id="0">
    <w:p w14:paraId="169E89C9" w14:textId="77777777" w:rsidR="007D609C" w:rsidRDefault="007D609C" w:rsidP="000E4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F79F4" w14:textId="77777777" w:rsidR="007D609C" w:rsidRDefault="007D609C" w:rsidP="000E457F">
      <w:pPr>
        <w:spacing w:after="0" w:line="240" w:lineRule="auto"/>
      </w:pPr>
      <w:r>
        <w:separator/>
      </w:r>
    </w:p>
  </w:footnote>
  <w:footnote w:type="continuationSeparator" w:id="0">
    <w:p w14:paraId="59EA778C" w14:textId="77777777" w:rsidR="007D609C" w:rsidRDefault="007D609C" w:rsidP="000E4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70CAC" w14:textId="0A392167" w:rsidR="004D2A3C" w:rsidRPr="001E2C13" w:rsidRDefault="00991864" w:rsidP="00991864">
    <w:pPr>
      <w:pStyle w:val="Header"/>
      <w:tabs>
        <w:tab w:val="left" w:pos="4605"/>
      </w:tabs>
      <w:jc w:val="both"/>
      <w:rPr>
        <w:noProof/>
      </w:rPr>
    </w:pPr>
    <w:r>
      <w:rPr>
        <w:b/>
        <w:bCs/>
        <w:noProof/>
      </w:rPr>
      <w:drawing>
        <wp:anchor distT="0" distB="0" distL="114300" distR="114300" simplePos="0" relativeHeight="251662336" behindDoc="0" locked="0" layoutInCell="1" allowOverlap="1" wp14:anchorId="25FF9E42" wp14:editId="48211240">
          <wp:simplePos x="0" y="0"/>
          <wp:positionH relativeFrom="margin">
            <wp:align>right</wp:align>
          </wp:positionH>
          <wp:positionV relativeFrom="topMargin">
            <wp:posOffset>342900</wp:posOffset>
          </wp:positionV>
          <wp:extent cx="885825" cy="349250"/>
          <wp:effectExtent l="0" t="0" r="9525" b="0"/>
          <wp:wrapSquare wrapText="bothSides"/>
          <wp:docPr id="855425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425757" name="Picture 855425757"/>
                  <pic:cNvPicPr/>
                </pic:nvPicPr>
                <pic:blipFill rotWithShape="1">
                  <a:blip r:embed="rId1">
                    <a:extLst>
                      <a:ext uri="{28A0092B-C50C-407E-A947-70E740481C1C}">
                        <a14:useLocalDpi xmlns:a14="http://schemas.microsoft.com/office/drawing/2010/main" val="0"/>
                      </a:ext>
                    </a:extLst>
                  </a:blip>
                  <a:srcRect l="25347" t="35352" r="24884" b="36825"/>
                  <a:stretch>
                    <a:fillRect/>
                  </a:stretch>
                </pic:blipFill>
                <pic:spPr bwMode="auto">
                  <a:xfrm>
                    <a:off x="0" y="0"/>
                    <a:ext cx="885825" cy="34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2A3C">
      <w:rPr>
        <w:noProof/>
      </w:rPr>
      <w:drawing>
        <wp:anchor distT="0" distB="0" distL="114300" distR="114300" simplePos="0" relativeHeight="251658240" behindDoc="0" locked="0" layoutInCell="1" allowOverlap="1" wp14:anchorId="504FB277" wp14:editId="4CC335B3">
          <wp:simplePos x="0" y="0"/>
          <wp:positionH relativeFrom="margin">
            <wp:align>left</wp:align>
          </wp:positionH>
          <wp:positionV relativeFrom="paragraph">
            <wp:posOffset>-146050</wp:posOffset>
          </wp:positionV>
          <wp:extent cx="1133475" cy="352425"/>
          <wp:effectExtent l="0" t="0" r="9525" b="9525"/>
          <wp:wrapThrough wrapText="bothSides">
            <wp:wrapPolygon edited="0">
              <wp:start x="0" y="0"/>
              <wp:lineTo x="0" y="21016"/>
              <wp:lineTo x="21418" y="21016"/>
              <wp:lineTo x="21418" y="0"/>
              <wp:lineTo x="0" y="0"/>
            </wp:wrapPolygon>
          </wp:wrapThrough>
          <wp:docPr id="26100006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000061" name="Picture 1" descr="A black text on a white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133475" cy="352425"/>
                  </a:xfrm>
                  <a:prstGeom prst="rect">
                    <a:avLst/>
                  </a:prstGeom>
                </pic:spPr>
              </pic:pic>
            </a:graphicData>
          </a:graphic>
          <wp14:sizeRelH relativeFrom="page">
            <wp14:pctWidth>0</wp14:pctWidth>
          </wp14:sizeRelH>
          <wp14:sizeRelV relativeFrom="page">
            <wp14:pctHeight>0</wp14:pctHeight>
          </wp14:sizeRelV>
        </wp:anchor>
      </w:drawing>
    </w:r>
    <w:r w:rsidR="00766A70">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71461"/>
    <w:multiLevelType w:val="hybridMultilevel"/>
    <w:tmpl w:val="D36670C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20C4273D"/>
    <w:multiLevelType w:val="multilevel"/>
    <w:tmpl w:val="F732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F964B0"/>
    <w:multiLevelType w:val="multilevel"/>
    <w:tmpl w:val="1BCA5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477AC1"/>
    <w:multiLevelType w:val="multilevel"/>
    <w:tmpl w:val="36466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DA6FE7"/>
    <w:multiLevelType w:val="multilevel"/>
    <w:tmpl w:val="63BE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D06757"/>
    <w:multiLevelType w:val="hybridMultilevel"/>
    <w:tmpl w:val="5DB4189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361735381">
    <w:abstractNumId w:val="2"/>
  </w:num>
  <w:num w:numId="2" w16cid:durableId="1304892227">
    <w:abstractNumId w:val="1"/>
  </w:num>
  <w:num w:numId="3" w16cid:durableId="1582058481">
    <w:abstractNumId w:val="4"/>
  </w:num>
  <w:num w:numId="4" w16cid:durableId="2132476491">
    <w:abstractNumId w:val="3"/>
  </w:num>
  <w:num w:numId="5" w16cid:durableId="16152943">
    <w:abstractNumId w:val="5"/>
  </w:num>
  <w:num w:numId="6" w16cid:durableId="524370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3D"/>
    <w:rsid w:val="000004B2"/>
    <w:rsid w:val="00003793"/>
    <w:rsid w:val="00004F31"/>
    <w:rsid w:val="000075B9"/>
    <w:rsid w:val="000247F2"/>
    <w:rsid w:val="00024CA3"/>
    <w:rsid w:val="000273DD"/>
    <w:rsid w:val="000300F4"/>
    <w:rsid w:val="00046CC0"/>
    <w:rsid w:val="00061337"/>
    <w:rsid w:val="000726C1"/>
    <w:rsid w:val="00081B92"/>
    <w:rsid w:val="00097970"/>
    <w:rsid w:val="000B29AC"/>
    <w:rsid w:val="000C7F2A"/>
    <w:rsid w:val="000E457F"/>
    <w:rsid w:val="000F3A9D"/>
    <w:rsid w:val="001021D1"/>
    <w:rsid w:val="001067CD"/>
    <w:rsid w:val="001069B1"/>
    <w:rsid w:val="00133AB7"/>
    <w:rsid w:val="0015611F"/>
    <w:rsid w:val="001657DE"/>
    <w:rsid w:val="001708E9"/>
    <w:rsid w:val="00175514"/>
    <w:rsid w:val="00175CDE"/>
    <w:rsid w:val="00175EEC"/>
    <w:rsid w:val="001826DF"/>
    <w:rsid w:val="001A3273"/>
    <w:rsid w:val="001B01F4"/>
    <w:rsid w:val="001B4B9D"/>
    <w:rsid w:val="001B4E54"/>
    <w:rsid w:val="001E2C13"/>
    <w:rsid w:val="001F3D95"/>
    <w:rsid w:val="002041E4"/>
    <w:rsid w:val="002167B2"/>
    <w:rsid w:val="0021746A"/>
    <w:rsid w:val="00217C6D"/>
    <w:rsid w:val="002412F9"/>
    <w:rsid w:val="00250BE2"/>
    <w:rsid w:val="0029178D"/>
    <w:rsid w:val="002A02A6"/>
    <w:rsid w:val="002A5ED9"/>
    <w:rsid w:val="002D0EDD"/>
    <w:rsid w:val="002E6FA3"/>
    <w:rsid w:val="0032256F"/>
    <w:rsid w:val="00323244"/>
    <w:rsid w:val="0032739A"/>
    <w:rsid w:val="00333732"/>
    <w:rsid w:val="00343367"/>
    <w:rsid w:val="0036347A"/>
    <w:rsid w:val="003C303D"/>
    <w:rsid w:val="00411F13"/>
    <w:rsid w:val="00441DAA"/>
    <w:rsid w:val="00444606"/>
    <w:rsid w:val="00450940"/>
    <w:rsid w:val="00462C6A"/>
    <w:rsid w:val="0047054F"/>
    <w:rsid w:val="00475C15"/>
    <w:rsid w:val="004802B2"/>
    <w:rsid w:val="0049526E"/>
    <w:rsid w:val="004A5AFE"/>
    <w:rsid w:val="004D2A3C"/>
    <w:rsid w:val="004D669C"/>
    <w:rsid w:val="004E4EAF"/>
    <w:rsid w:val="00526DE6"/>
    <w:rsid w:val="005317E2"/>
    <w:rsid w:val="00550384"/>
    <w:rsid w:val="00570569"/>
    <w:rsid w:val="00571BAA"/>
    <w:rsid w:val="00592404"/>
    <w:rsid w:val="005A0B8C"/>
    <w:rsid w:val="005C1C13"/>
    <w:rsid w:val="005D2D82"/>
    <w:rsid w:val="005E0992"/>
    <w:rsid w:val="005E4746"/>
    <w:rsid w:val="00604FC9"/>
    <w:rsid w:val="00605FB9"/>
    <w:rsid w:val="0061606B"/>
    <w:rsid w:val="006176DE"/>
    <w:rsid w:val="00621EF3"/>
    <w:rsid w:val="006224CF"/>
    <w:rsid w:val="00630488"/>
    <w:rsid w:val="00637CC6"/>
    <w:rsid w:val="00640353"/>
    <w:rsid w:val="00652CF8"/>
    <w:rsid w:val="00665BB2"/>
    <w:rsid w:val="00687032"/>
    <w:rsid w:val="006939C7"/>
    <w:rsid w:val="00696A0F"/>
    <w:rsid w:val="006A5C9F"/>
    <w:rsid w:val="006B4B36"/>
    <w:rsid w:val="006C681C"/>
    <w:rsid w:val="006D4DBB"/>
    <w:rsid w:val="006E06FF"/>
    <w:rsid w:val="006F67C7"/>
    <w:rsid w:val="006F753B"/>
    <w:rsid w:val="00732888"/>
    <w:rsid w:val="0073373E"/>
    <w:rsid w:val="00756B8E"/>
    <w:rsid w:val="00766A70"/>
    <w:rsid w:val="00777F87"/>
    <w:rsid w:val="00781EB4"/>
    <w:rsid w:val="007B4CDA"/>
    <w:rsid w:val="007B76DC"/>
    <w:rsid w:val="007B7C32"/>
    <w:rsid w:val="007C2B0B"/>
    <w:rsid w:val="007D609C"/>
    <w:rsid w:val="00832CE8"/>
    <w:rsid w:val="00833898"/>
    <w:rsid w:val="00850EF8"/>
    <w:rsid w:val="00856AE7"/>
    <w:rsid w:val="008656A8"/>
    <w:rsid w:val="00866B83"/>
    <w:rsid w:val="008778D3"/>
    <w:rsid w:val="008855FF"/>
    <w:rsid w:val="00885E1F"/>
    <w:rsid w:val="008A1626"/>
    <w:rsid w:val="008A53A6"/>
    <w:rsid w:val="008B01B3"/>
    <w:rsid w:val="008C7B3B"/>
    <w:rsid w:val="008E566B"/>
    <w:rsid w:val="008F09FD"/>
    <w:rsid w:val="00912C99"/>
    <w:rsid w:val="0091585C"/>
    <w:rsid w:val="00916B5A"/>
    <w:rsid w:val="0094183D"/>
    <w:rsid w:val="009465D6"/>
    <w:rsid w:val="00956259"/>
    <w:rsid w:val="009753CA"/>
    <w:rsid w:val="0098055E"/>
    <w:rsid w:val="00981A5D"/>
    <w:rsid w:val="00991864"/>
    <w:rsid w:val="009B5AA1"/>
    <w:rsid w:val="009D2E93"/>
    <w:rsid w:val="009F31B0"/>
    <w:rsid w:val="009F3620"/>
    <w:rsid w:val="009F5DFE"/>
    <w:rsid w:val="009F7625"/>
    <w:rsid w:val="00A02E4F"/>
    <w:rsid w:val="00A5383B"/>
    <w:rsid w:val="00A5566F"/>
    <w:rsid w:val="00A60C7F"/>
    <w:rsid w:val="00A728F0"/>
    <w:rsid w:val="00A8756C"/>
    <w:rsid w:val="00A95E3C"/>
    <w:rsid w:val="00AB5121"/>
    <w:rsid w:val="00AC3187"/>
    <w:rsid w:val="00AC5815"/>
    <w:rsid w:val="00AD40B4"/>
    <w:rsid w:val="00AD7836"/>
    <w:rsid w:val="00AD7866"/>
    <w:rsid w:val="00B0464C"/>
    <w:rsid w:val="00B059A8"/>
    <w:rsid w:val="00B169B5"/>
    <w:rsid w:val="00B35EF2"/>
    <w:rsid w:val="00B365BF"/>
    <w:rsid w:val="00B37E16"/>
    <w:rsid w:val="00B670E0"/>
    <w:rsid w:val="00B707EE"/>
    <w:rsid w:val="00B71EB8"/>
    <w:rsid w:val="00B83087"/>
    <w:rsid w:val="00B873C8"/>
    <w:rsid w:val="00BA252E"/>
    <w:rsid w:val="00BB57EA"/>
    <w:rsid w:val="00BD1194"/>
    <w:rsid w:val="00BF3527"/>
    <w:rsid w:val="00C506EE"/>
    <w:rsid w:val="00C55EB7"/>
    <w:rsid w:val="00C84F48"/>
    <w:rsid w:val="00CA356A"/>
    <w:rsid w:val="00CA4B0C"/>
    <w:rsid w:val="00CA7376"/>
    <w:rsid w:val="00CA7647"/>
    <w:rsid w:val="00CB5C24"/>
    <w:rsid w:val="00CC07AF"/>
    <w:rsid w:val="00CC4F87"/>
    <w:rsid w:val="00CF50E0"/>
    <w:rsid w:val="00D10D97"/>
    <w:rsid w:val="00D16D2E"/>
    <w:rsid w:val="00D216E0"/>
    <w:rsid w:val="00D26909"/>
    <w:rsid w:val="00D27874"/>
    <w:rsid w:val="00D31A3F"/>
    <w:rsid w:val="00D33321"/>
    <w:rsid w:val="00D43144"/>
    <w:rsid w:val="00D56224"/>
    <w:rsid w:val="00D60362"/>
    <w:rsid w:val="00D7057A"/>
    <w:rsid w:val="00DA5623"/>
    <w:rsid w:val="00DA6FB6"/>
    <w:rsid w:val="00DC0177"/>
    <w:rsid w:val="00DC27DE"/>
    <w:rsid w:val="00DC5813"/>
    <w:rsid w:val="00DC73FC"/>
    <w:rsid w:val="00DF16D8"/>
    <w:rsid w:val="00DF5241"/>
    <w:rsid w:val="00E07E4B"/>
    <w:rsid w:val="00E33B92"/>
    <w:rsid w:val="00E55F08"/>
    <w:rsid w:val="00E66891"/>
    <w:rsid w:val="00E766F5"/>
    <w:rsid w:val="00E83C03"/>
    <w:rsid w:val="00E930D4"/>
    <w:rsid w:val="00EA6636"/>
    <w:rsid w:val="00EE4084"/>
    <w:rsid w:val="00EE6C2A"/>
    <w:rsid w:val="00F07772"/>
    <w:rsid w:val="00F10FEE"/>
    <w:rsid w:val="00F2664F"/>
    <w:rsid w:val="00F27F52"/>
    <w:rsid w:val="00F33D1F"/>
    <w:rsid w:val="00F379ED"/>
    <w:rsid w:val="00F51520"/>
    <w:rsid w:val="00F62CCD"/>
    <w:rsid w:val="00F85FB1"/>
    <w:rsid w:val="00F960E6"/>
    <w:rsid w:val="00F97BA4"/>
    <w:rsid w:val="00FA4807"/>
    <w:rsid w:val="00FB53DA"/>
    <w:rsid w:val="00FB6ADA"/>
    <w:rsid w:val="00FB7479"/>
    <w:rsid w:val="00FD0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3F800"/>
  <w15:chartTrackingRefBased/>
  <w15:docId w15:val="{1F374843-0670-4BE6-8FBC-E484CAAC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8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18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18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18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418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18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8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8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8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8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18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18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18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418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18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8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8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83D"/>
    <w:rPr>
      <w:rFonts w:eastAsiaTheme="majorEastAsia" w:cstheme="majorBidi"/>
      <w:color w:val="272727" w:themeColor="text1" w:themeTint="D8"/>
    </w:rPr>
  </w:style>
  <w:style w:type="paragraph" w:styleId="Title">
    <w:name w:val="Title"/>
    <w:basedOn w:val="Normal"/>
    <w:next w:val="Normal"/>
    <w:link w:val="TitleChar"/>
    <w:uiPriority w:val="10"/>
    <w:qFormat/>
    <w:rsid w:val="00941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8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8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8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83D"/>
    <w:pPr>
      <w:spacing w:before="160"/>
      <w:jc w:val="center"/>
    </w:pPr>
    <w:rPr>
      <w:i/>
      <w:iCs/>
      <w:color w:val="404040" w:themeColor="text1" w:themeTint="BF"/>
    </w:rPr>
  </w:style>
  <w:style w:type="character" w:customStyle="1" w:styleId="QuoteChar">
    <w:name w:val="Quote Char"/>
    <w:basedOn w:val="DefaultParagraphFont"/>
    <w:link w:val="Quote"/>
    <w:uiPriority w:val="29"/>
    <w:rsid w:val="0094183D"/>
    <w:rPr>
      <w:i/>
      <w:iCs/>
      <w:color w:val="404040" w:themeColor="text1" w:themeTint="BF"/>
    </w:rPr>
  </w:style>
  <w:style w:type="paragraph" w:styleId="ListParagraph">
    <w:name w:val="List Paragraph"/>
    <w:basedOn w:val="Normal"/>
    <w:uiPriority w:val="34"/>
    <w:qFormat/>
    <w:rsid w:val="0094183D"/>
    <w:pPr>
      <w:ind w:left="720"/>
      <w:contextualSpacing/>
    </w:pPr>
  </w:style>
  <w:style w:type="character" w:styleId="IntenseEmphasis">
    <w:name w:val="Intense Emphasis"/>
    <w:basedOn w:val="DefaultParagraphFont"/>
    <w:uiPriority w:val="21"/>
    <w:qFormat/>
    <w:rsid w:val="0094183D"/>
    <w:rPr>
      <w:i/>
      <w:iCs/>
      <w:color w:val="0F4761" w:themeColor="accent1" w:themeShade="BF"/>
    </w:rPr>
  </w:style>
  <w:style w:type="paragraph" w:styleId="IntenseQuote">
    <w:name w:val="Intense Quote"/>
    <w:basedOn w:val="Normal"/>
    <w:next w:val="Normal"/>
    <w:link w:val="IntenseQuoteChar"/>
    <w:uiPriority w:val="30"/>
    <w:qFormat/>
    <w:rsid w:val="009418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183D"/>
    <w:rPr>
      <w:i/>
      <w:iCs/>
      <w:color w:val="0F4761" w:themeColor="accent1" w:themeShade="BF"/>
    </w:rPr>
  </w:style>
  <w:style w:type="character" w:styleId="IntenseReference">
    <w:name w:val="Intense Reference"/>
    <w:basedOn w:val="DefaultParagraphFont"/>
    <w:uiPriority w:val="32"/>
    <w:qFormat/>
    <w:rsid w:val="0094183D"/>
    <w:rPr>
      <w:b/>
      <w:bCs/>
      <w:smallCaps/>
      <w:color w:val="0F4761" w:themeColor="accent1" w:themeShade="BF"/>
      <w:spacing w:val="5"/>
    </w:rPr>
  </w:style>
  <w:style w:type="paragraph" w:styleId="Header">
    <w:name w:val="header"/>
    <w:basedOn w:val="Normal"/>
    <w:link w:val="HeaderChar"/>
    <w:uiPriority w:val="99"/>
    <w:unhideWhenUsed/>
    <w:rsid w:val="000E45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57F"/>
  </w:style>
  <w:style w:type="paragraph" w:styleId="Footer">
    <w:name w:val="footer"/>
    <w:basedOn w:val="Normal"/>
    <w:link w:val="FooterChar"/>
    <w:uiPriority w:val="99"/>
    <w:unhideWhenUsed/>
    <w:rsid w:val="000E4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57F"/>
  </w:style>
  <w:style w:type="paragraph" w:styleId="Revision">
    <w:name w:val="Revision"/>
    <w:hidden/>
    <w:uiPriority w:val="99"/>
    <w:semiHidden/>
    <w:rsid w:val="00E33B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3227">
      <w:bodyDiv w:val="1"/>
      <w:marLeft w:val="0"/>
      <w:marRight w:val="0"/>
      <w:marTop w:val="0"/>
      <w:marBottom w:val="0"/>
      <w:divBdr>
        <w:top w:val="none" w:sz="0" w:space="0" w:color="auto"/>
        <w:left w:val="none" w:sz="0" w:space="0" w:color="auto"/>
        <w:bottom w:val="none" w:sz="0" w:space="0" w:color="auto"/>
        <w:right w:val="none" w:sz="0" w:space="0" w:color="auto"/>
      </w:divBdr>
    </w:div>
    <w:div w:id="79329256">
      <w:bodyDiv w:val="1"/>
      <w:marLeft w:val="0"/>
      <w:marRight w:val="0"/>
      <w:marTop w:val="0"/>
      <w:marBottom w:val="0"/>
      <w:divBdr>
        <w:top w:val="none" w:sz="0" w:space="0" w:color="auto"/>
        <w:left w:val="none" w:sz="0" w:space="0" w:color="auto"/>
        <w:bottom w:val="none" w:sz="0" w:space="0" w:color="auto"/>
        <w:right w:val="none" w:sz="0" w:space="0" w:color="auto"/>
      </w:divBdr>
    </w:div>
    <w:div w:id="149181805">
      <w:bodyDiv w:val="1"/>
      <w:marLeft w:val="0"/>
      <w:marRight w:val="0"/>
      <w:marTop w:val="0"/>
      <w:marBottom w:val="0"/>
      <w:divBdr>
        <w:top w:val="none" w:sz="0" w:space="0" w:color="auto"/>
        <w:left w:val="none" w:sz="0" w:space="0" w:color="auto"/>
        <w:bottom w:val="none" w:sz="0" w:space="0" w:color="auto"/>
        <w:right w:val="none" w:sz="0" w:space="0" w:color="auto"/>
      </w:divBdr>
      <w:divsChild>
        <w:div w:id="1610622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173047">
      <w:bodyDiv w:val="1"/>
      <w:marLeft w:val="0"/>
      <w:marRight w:val="0"/>
      <w:marTop w:val="0"/>
      <w:marBottom w:val="0"/>
      <w:divBdr>
        <w:top w:val="none" w:sz="0" w:space="0" w:color="auto"/>
        <w:left w:val="none" w:sz="0" w:space="0" w:color="auto"/>
        <w:bottom w:val="none" w:sz="0" w:space="0" w:color="auto"/>
        <w:right w:val="none" w:sz="0" w:space="0" w:color="auto"/>
      </w:divBdr>
    </w:div>
    <w:div w:id="267203885">
      <w:bodyDiv w:val="1"/>
      <w:marLeft w:val="0"/>
      <w:marRight w:val="0"/>
      <w:marTop w:val="0"/>
      <w:marBottom w:val="0"/>
      <w:divBdr>
        <w:top w:val="none" w:sz="0" w:space="0" w:color="auto"/>
        <w:left w:val="none" w:sz="0" w:space="0" w:color="auto"/>
        <w:bottom w:val="none" w:sz="0" w:space="0" w:color="auto"/>
        <w:right w:val="none" w:sz="0" w:space="0" w:color="auto"/>
      </w:divBdr>
    </w:div>
    <w:div w:id="314530113">
      <w:bodyDiv w:val="1"/>
      <w:marLeft w:val="0"/>
      <w:marRight w:val="0"/>
      <w:marTop w:val="0"/>
      <w:marBottom w:val="0"/>
      <w:divBdr>
        <w:top w:val="none" w:sz="0" w:space="0" w:color="auto"/>
        <w:left w:val="none" w:sz="0" w:space="0" w:color="auto"/>
        <w:bottom w:val="none" w:sz="0" w:space="0" w:color="auto"/>
        <w:right w:val="none" w:sz="0" w:space="0" w:color="auto"/>
      </w:divBdr>
    </w:div>
    <w:div w:id="635374419">
      <w:bodyDiv w:val="1"/>
      <w:marLeft w:val="0"/>
      <w:marRight w:val="0"/>
      <w:marTop w:val="0"/>
      <w:marBottom w:val="0"/>
      <w:divBdr>
        <w:top w:val="none" w:sz="0" w:space="0" w:color="auto"/>
        <w:left w:val="none" w:sz="0" w:space="0" w:color="auto"/>
        <w:bottom w:val="none" w:sz="0" w:space="0" w:color="auto"/>
        <w:right w:val="none" w:sz="0" w:space="0" w:color="auto"/>
      </w:divBdr>
    </w:div>
    <w:div w:id="838161390">
      <w:bodyDiv w:val="1"/>
      <w:marLeft w:val="0"/>
      <w:marRight w:val="0"/>
      <w:marTop w:val="0"/>
      <w:marBottom w:val="0"/>
      <w:divBdr>
        <w:top w:val="none" w:sz="0" w:space="0" w:color="auto"/>
        <w:left w:val="none" w:sz="0" w:space="0" w:color="auto"/>
        <w:bottom w:val="none" w:sz="0" w:space="0" w:color="auto"/>
        <w:right w:val="none" w:sz="0" w:space="0" w:color="auto"/>
      </w:divBdr>
    </w:div>
    <w:div w:id="866988262">
      <w:bodyDiv w:val="1"/>
      <w:marLeft w:val="0"/>
      <w:marRight w:val="0"/>
      <w:marTop w:val="0"/>
      <w:marBottom w:val="0"/>
      <w:divBdr>
        <w:top w:val="none" w:sz="0" w:space="0" w:color="auto"/>
        <w:left w:val="none" w:sz="0" w:space="0" w:color="auto"/>
        <w:bottom w:val="none" w:sz="0" w:space="0" w:color="auto"/>
        <w:right w:val="none" w:sz="0" w:space="0" w:color="auto"/>
      </w:divBdr>
    </w:div>
    <w:div w:id="902521721">
      <w:bodyDiv w:val="1"/>
      <w:marLeft w:val="0"/>
      <w:marRight w:val="0"/>
      <w:marTop w:val="0"/>
      <w:marBottom w:val="0"/>
      <w:divBdr>
        <w:top w:val="none" w:sz="0" w:space="0" w:color="auto"/>
        <w:left w:val="none" w:sz="0" w:space="0" w:color="auto"/>
        <w:bottom w:val="none" w:sz="0" w:space="0" w:color="auto"/>
        <w:right w:val="none" w:sz="0" w:space="0" w:color="auto"/>
      </w:divBdr>
    </w:div>
    <w:div w:id="942349123">
      <w:bodyDiv w:val="1"/>
      <w:marLeft w:val="0"/>
      <w:marRight w:val="0"/>
      <w:marTop w:val="0"/>
      <w:marBottom w:val="0"/>
      <w:divBdr>
        <w:top w:val="none" w:sz="0" w:space="0" w:color="auto"/>
        <w:left w:val="none" w:sz="0" w:space="0" w:color="auto"/>
        <w:bottom w:val="none" w:sz="0" w:space="0" w:color="auto"/>
        <w:right w:val="none" w:sz="0" w:space="0" w:color="auto"/>
      </w:divBdr>
      <w:divsChild>
        <w:div w:id="955209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1398444">
      <w:bodyDiv w:val="1"/>
      <w:marLeft w:val="0"/>
      <w:marRight w:val="0"/>
      <w:marTop w:val="0"/>
      <w:marBottom w:val="0"/>
      <w:divBdr>
        <w:top w:val="none" w:sz="0" w:space="0" w:color="auto"/>
        <w:left w:val="none" w:sz="0" w:space="0" w:color="auto"/>
        <w:bottom w:val="none" w:sz="0" w:space="0" w:color="auto"/>
        <w:right w:val="none" w:sz="0" w:space="0" w:color="auto"/>
      </w:divBdr>
    </w:div>
    <w:div w:id="1173759390">
      <w:bodyDiv w:val="1"/>
      <w:marLeft w:val="0"/>
      <w:marRight w:val="0"/>
      <w:marTop w:val="0"/>
      <w:marBottom w:val="0"/>
      <w:divBdr>
        <w:top w:val="none" w:sz="0" w:space="0" w:color="auto"/>
        <w:left w:val="none" w:sz="0" w:space="0" w:color="auto"/>
        <w:bottom w:val="none" w:sz="0" w:space="0" w:color="auto"/>
        <w:right w:val="none" w:sz="0" w:space="0" w:color="auto"/>
      </w:divBdr>
    </w:div>
    <w:div w:id="1209301326">
      <w:bodyDiv w:val="1"/>
      <w:marLeft w:val="0"/>
      <w:marRight w:val="0"/>
      <w:marTop w:val="0"/>
      <w:marBottom w:val="0"/>
      <w:divBdr>
        <w:top w:val="none" w:sz="0" w:space="0" w:color="auto"/>
        <w:left w:val="none" w:sz="0" w:space="0" w:color="auto"/>
        <w:bottom w:val="none" w:sz="0" w:space="0" w:color="auto"/>
        <w:right w:val="none" w:sz="0" w:space="0" w:color="auto"/>
      </w:divBdr>
    </w:div>
    <w:div w:id="1235164473">
      <w:bodyDiv w:val="1"/>
      <w:marLeft w:val="0"/>
      <w:marRight w:val="0"/>
      <w:marTop w:val="0"/>
      <w:marBottom w:val="0"/>
      <w:divBdr>
        <w:top w:val="none" w:sz="0" w:space="0" w:color="auto"/>
        <w:left w:val="none" w:sz="0" w:space="0" w:color="auto"/>
        <w:bottom w:val="none" w:sz="0" w:space="0" w:color="auto"/>
        <w:right w:val="none" w:sz="0" w:space="0" w:color="auto"/>
      </w:divBdr>
    </w:div>
    <w:div w:id="1272472990">
      <w:bodyDiv w:val="1"/>
      <w:marLeft w:val="0"/>
      <w:marRight w:val="0"/>
      <w:marTop w:val="0"/>
      <w:marBottom w:val="0"/>
      <w:divBdr>
        <w:top w:val="none" w:sz="0" w:space="0" w:color="auto"/>
        <w:left w:val="none" w:sz="0" w:space="0" w:color="auto"/>
        <w:bottom w:val="none" w:sz="0" w:space="0" w:color="auto"/>
        <w:right w:val="none" w:sz="0" w:space="0" w:color="auto"/>
      </w:divBdr>
    </w:div>
    <w:div w:id="1887524407">
      <w:bodyDiv w:val="1"/>
      <w:marLeft w:val="0"/>
      <w:marRight w:val="0"/>
      <w:marTop w:val="0"/>
      <w:marBottom w:val="0"/>
      <w:divBdr>
        <w:top w:val="none" w:sz="0" w:space="0" w:color="auto"/>
        <w:left w:val="none" w:sz="0" w:space="0" w:color="auto"/>
        <w:bottom w:val="none" w:sz="0" w:space="0" w:color="auto"/>
        <w:right w:val="none" w:sz="0" w:space="0" w:color="auto"/>
      </w:divBdr>
      <w:divsChild>
        <w:div w:id="2014067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458912">
      <w:bodyDiv w:val="1"/>
      <w:marLeft w:val="0"/>
      <w:marRight w:val="0"/>
      <w:marTop w:val="0"/>
      <w:marBottom w:val="0"/>
      <w:divBdr>
        <w:top w:val="none" w:sz="0" w:space="0" w:color="auto"/>
        <w:left w:val="none" w:sz="0" w:space="0" w:color="auto"/>
        <w:bottom w:val="none" w:sz="0" w:space="0" w:color="auto"/>
        <w:right w:val="none" w:sz="0" w:space="0" w:color="auto"/>
      </w:divBdr>
    </w:div>
    <w:div w:id="1906600396">
      <w:bodyDiv w:val="1"/>
      <w:marLeft w:val="0"/>
      <w:marRight w:val="0"/>
      <w:marTop w:val="0"/>
      <w:marBottom w:val="0"/>
      <w:divBdr>
        <w:top w:val="none" w:sz="0" w:space="0" w:color="auto"/>
        <w:left w:val="none" w:sz="0" w:space="0" w:color="auto"/>
        <w:bottom w:val="none" w:sz="0" w:space="0" w:color="auto"/>
        <w:right w:val="none" w:sz="0" w:space="0" w:color="auto"/>
      </w:divBdr>
    </w:div>
    <w:div w:id="2009288361">
      <w:bodyDiv w:val="1"/>
      <w:marLeft w:val="0"/>
      <w:marRight w:val="0"/>
      <w:marTop w:val="0"/>
      <w:marBottom w:val="0"/>
      <w:divBdr>
        <w:top w:val="none" w:sz="0" w:space="0" w:color="auto"/>
        <w:left w:val="none" w:sz="0" w:space="0" w:color="auto"/>
        <w:bottom w:val="none" w:sz="0" w:space="0" w:color="auto"/>
        <w:right w:val="none" w:sz="0" w:space="0" w:color="auto"/>
      </w:divBdr>
    </w:div>
    <w:div w:id="2083718137">
      <w:bodyDiv w:val="1"/>
      <w:marLeft w:val="0"/>
      <w:marRight w:val="0"/>
      <w:marTop w:val="0"/>
      <w:marBottom w:val="0"/>
      <w:divBdr>
        <w:top w:val="none" w:sz="0" w:space="0" w:color="auto"/>
        <w:left w:val="none" w:sz="0" w:space="0" w:color="auto"/>
        <w:bottom w:val="none" w:sz="0" w:space="0" w:color="auto"/>
        <w:right w:val="none" w:sz="0" w:space="0" w:color="auto"/>
      </w:divBdr>
    </w:div>
    <w:div w:id="2133866047">
      <w:bodyDiv w:val="1"/>
      <w:marLeft w:val="0"/>
      <w:marRight w:val="0"/>
      <w:marTop w:val="0"/>
      <w:marBottom w:val="0"/>
      <w:divBdr>
        <w:top w:val="none" w:sz="0" w:space="0" w:color="auto"/>
        <w:left w:val="none" w:sz="0" w:space="0" w:color="auto"/>
        <w:bottom w:val="none" w:sz="0" w:space="0" w:color="auto"/>
        <w:right w:val="none" w:sz="0" w:space="0" w:color="auto"/>
      </w:divBdr>
      <w:divsChild>
        <w:div w:id="2092198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B251D-CC99-465F-93B4-BD24D1E70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Rizki Febianto</dc:creator>
  <cp:keywords/>
  <dc:description/>
  <cp:lastModifiedBy>Rizki Febianto</cp:lastModifiedBy>
  <cp:revision>27</cp:revision>
  <dcterms:created xsi:type="dcterms:W3CDTF">2026-02-27T07:46:00Z</dcterms:created>
  <dcterms:modified xsi:type="dcterms:W3CDTF">2026-03-04T07:42:00Z</dcterms:modified>
</cp:coreProperties>
</file>