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3AFF" w14:textId="3ABB05B5" w:rsidR="007B4CDA" w:rsidRPr="0001408B" w:rsidRDefault="000B29AC" w:rsidP="008656A8">
      <w:pPr>
        <w:spacing w:line="360" w:lineRule="auto"/>
        <w:jc w:val="both"/>
        <w:rPr>
          <w:rFonts w:ascii="Calibri" w:hAnsi="Calibri" w:cs="Calibri"/>
          <w:b/>
          <w:i/>
          <w:color w:val="EE0000"/>
          <w:sz w:val="20"/>
          <w:szCs w:val="20"/>
          <w:lang w:val="id-ID"/>
        </w:rPr>
      </w:pPr>
      <w:r w:rsidRPr="0001408B">
        <w:rPr>
          <w:rFonts w:ascii="Calibri" w:hAnsi="Calibri" w:cs="Calibri"/>
          <w:b/>
          <w:i/>
          <w:color w:val="EE0000"/>
          <w:sz w:val="20"/>
          <w:szCs w:val="20"/>
          <w:lang w:val="id-ID"/>
        </w:rPr>
        <w:t>PRESS RELEASE</w:t>
      </w:r>
    </w:p>
    <w:p w14:paraId="69BE1BA9" w14:textId="6C44576D" w:rsidR="00DC73FC" w:rsidRPr="00A304D8" w:rsidRDefault="00EE6C2A" w:rsidP="0001408B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304D8">
        <w:rPr>
          <w:rFonts w:ascii="Calibri" w:hAnsi="Calibri" w:cs="Calibri"/>
          <w:b/>
          <w:bCs/>
          <w:sz w:val="20"/>
          <w:szCs w:val="20"/>
        </w:rPr>
        <w:t xml:space="preserve">Game Bold, Live Loud: </w:t>
      </w:r>
      <w:r w:rsidR="00855323" w:rsidRPr="00A304D8">
        <w:rPr>
          <w:rFonts w:ascii="Calibri" w:hAnsi="Calibri" w:cs="Calibri"/>
          <w:b/>
          <w:bCs/>
          <w:sz w:val="20"/>
          <w:szCs w:val="20"/>
        </w:rPr>
        <w:t>TODAK</w:t>
      </w:r>
      <w:r w:rsidRPr="00A304D8">
        <w:rPr>
          <w:rFonts w:ascii="Calibri" w:hAnsi="Calibri" w:cs="Calibri"/>
          <w:b/>
          <w:bCs/>
          <w:sz w:val="20"/>
          <w:szCs w:val="20"/>
        </w:rPr>
        <w:t xml:space="preserve"> G</w:t>
      </w:r>
      <w:proofErr w:type="spellStart"/>
      <w:r w:rsidRPr="00A304D8">
        <w:rPr>
          <w:rFonts w:ascii="Calibri" w:hAnsi="Calibri" w:cs="Calibri"/>
          <w:b/>
          <w:bCs/>
          <w:sz w:val="20"/>
          <w:szCs w:val="20"/>
        </w:rPr>
        <w:t>andeng</w:t>
      </w:r>
      <w:proofErr w:type="spellEnd"/>
      <w:r w:rsidR="00A5383B" w:rsidRPr="00A304D8">
        <w:rPr>
          <w:rFonts w:ascii="Calibri" w:hAnsi="Calibri" w:cs="Calibri"/>
          <w:b/>
          <w:bCs/>
          <w:sz w:val="20"/>
          <w:szCs w:val="20"/>
          <w:lang w:val="en-ID"/>
        </w:rPr>
        <w:t xml:space="preserve"> PT</w:t>
      </w:r>
      <w:r w:rsidRPr="00A304D8">
        <w:rPr>
          <w:rFonts w:ascii="Calibri" w:hAnsi="Calibri" w:cs="Calibri"/>
          <w:b/>
          <w:bCs/>
          <w:sz w:val="20"/>
          <w:szCs w:val="20"/>
        </w:rPr>
        <w:t xml:space="preserve"> Datascrip</w:t>
      </w:r>
      <w:r w:rsidR="00A5383B" w:rsidRPr="00A304D8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A304D8">
        <w:rPr>
          <w:rFonts w:ascii="Calibri" w:hAnsi="Calibri" w:cs="Calibri"/>
          <w:b/>
          <w:bCs/>
          <w:sz w:val="20"/>
          <w:szCs w:val="20"/>
        </w:rPr>
        <w:t>Perluas</w:t>
      </w:r>
      <w:proofErr w:type="spellEnd"/>
      <w:r w:rsidRPr="00A304D8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b/>
          <w:bCs/>
          <w:sz w:val="20"/>
          <w:szCs w:val="20"/>
        </w:rPr>
        <w:t>Distribusi</w:t>
      </w:r>
      <w:proofErr w:type="spellEnd"/>
      <w:r w:rsidRPr="00A304D8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b/>
          <w:bCs/>
          <w:sz w:val="20"/>
          <w:szCs w:val="20"/>
        </w:rPr>
        <w:t>Kursi</w:t>
      </w:r>
      <w:proofErr w:type="spellEnd"/>
      <w:r w:rsidRPr="00A304D8">
        <w:rPr>
          <w:rFonts w:ascii="Calibri" w:hAnsi="Calibri" w:cs="Calibri"/>
          <w:b/>
          <w:bCs/>
          <w:sz w:val="20"/>
          <w:szCs w:val="20"/>
        </w:rPr>
        <w:t xml:space="preserve"> Gaming </w:t>
      </w:r>
      <w:r w:rsidR="00A5383B" w:rsidRPr="00A304D8">
        <w:rPr>
          <w:rFonts w:ascii="Calibri" w:hAnsi="Calibri" w:cs="Calibri"/>
          <w:b/>
          <w:bCs/>
          <w:sz w:val="20"/>
          <w:szCs w:val="20"/>
          <w:lang w:val="en-ID"/>
        </w:rPr>
        <w:t xml:space="preserve">Premium </w:t>
      </w:r>
      <w:r w:rsidR="00855323" w:rsidRPr="00A304D8">
        <w:rPr>
          <w:rFonts w:ascii="Calibri" w:hAnsi="Calibri" w:cs="Calibri"/>
          <w:b/>
          <w:bCs/>
          <w:sz w:val="20"/>
          <w:szCs w:val="20"/>
        </w:rPr>
        <w:t xml:space="preserve">TODAK </w:t>
      </w:r>
      <w:r w:rsidRPr="00A304D8">
        <w:rPr>
          <w:rFonts w:ascii="Calibri" w:hAnsi="Calibri" w:cs="Calibri"/>
          <w:b/>
          <w:bCs/>
          <w:sz w:val="20"/>
          <w:szCs w:val="20"/>
        </w:rPr>
        <w:t>Throne di Indonesia</w:t>
      </w:r>
    </w:p>
    <w:p w14:paraId="21375CBA" w14:textId="77777777" w:rsidR="002D0EDD" w:rsidRPr="00A304D8" w:rsidRDefault="002D0EDD" w:rsidP="00C84F48">
      <w:pPr>
        <w:spacing w:line="360" w:lineRule="auto"/>
        <w:jc w:val="center"/>
        <w:rPr>
          <w:rFonts w:ascii="Calibri" w:hAnsi="Calibri" w:cs="Calibri"/>
          <w:b/>
          <w:bCs/>
          <w:sz w:val="4"/>
          <w:szCs w:val="4"/>
          <w:lang w:val="id-ID"/>
        </w:rPr>
      </w:pPr>
    </w:p>
    <w:p w14:paraId="320AE7D3" w14:textId="77777777" w:rsidR="00F224C4" w:rsidRDefault="00F224C4" w:rsidP="006939C7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F224C4">
        <w:rPr>
          <w:rFonts w:ascii="Calibri" w:hAnsi="Calibri" w:cs="Calibri"/>
          <w:b/>
          <w:bCs/>
          <w:i/>
          <w:iCs/>
          <w:sz w:val="20"/>
          <w:szCs w:val="20"/>
        </w:rPr>
        <w:t xml:space="preserve">Jakarta, 25 Oktober 2025 – </w:t>
      </w:r>
      <w:proofErr w:type="spellStart"/>
      <w:r w:rsidRPr="00F224C4">
        <w:rPr>
          <w:rFonts w:ascii="Calibri" w:hAnsi="Calibri" w:cs="Calibri"/>
          <w:sz w:val="20"/>
          <w:szCs w:val="20"/>
        </w:rPr>
        <w:t>Melalui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penunjukan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PT Datascrip </w:t>
      </w:r>
      <w:proofErr w:type="spellStart"/>
      <w:r w:rsidRPr="00F224C4">
        <w:rPr>
          <w:rFonts w:ascii="Calibri" w:hAnsi="Calibri" w:cs="Calibri"/>
          <w:sz w:val="20"/>
          <w:szCs w:val="20"/>
        </w:rPr>
        <w:t>sebagai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distributor </w:t>
      </w:r>
      <w:proofErr w:type="spellStart"/>
      <w:r w:rsidRPr="00F224C4">
        <w:rPr>
          <w:rFonts w:ascii="Calibri" w:hAnsi="Calibri" w:cs="Calibri"/>
          <w:sz w:val="20"/>
          <w:szCs w:val="20"/>
        </w:rPr>
        <w:t>resmi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di Indonesia, TODAK Nusantara </w:t>
      </w:r>
      <w:proofErr w:type="spellStart"/>
      <w:r w:rsidRPr="00F224C4">
        <w:rPr>
          <w:rFonts w:ascii="Calibri" w:hAnsi="Calibri" w:cs="Calibri"/>
          <w:sz w:val="20"/>
          <w:szCs w:val="20"/>
        </w:rPr>
        <w:t>semakin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memperkuat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kehadiran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merek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TODAK di pasar </w:t>
      </w:r>
      <w:proofErr w:type="spellStart"/>
      <w:r w:rsidRPr="00F224C4">
        <w:rPr>
          <w:rFonts w:ascii="Calibri" w:hAnsi="Calibri" w:cs="Calibri"/>
          <w:sz w:val="20"/>
          <w:szCs w:val="20"/>
        </w:rPr>
        <w:t>nasional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dengan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menghadirkan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berbagai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kursi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gaming </w:t>
      </w:r>
      <w:proofErr w:type="spellStart"/>
      <w:r w:rsidRPr="00F224C4">
        <w:rPr>
          <w:rFonts w:ascii="Calibri" w:hAnsi="Calibri" w:cs="Calibri"/>
          <w:sz w:val="20"/>
          <w:szCs w:val="20"/>
        </w:rPr>
        <w:t>bergaya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premium yang </w:t>
      </w:r>
      <w:proofErr w:type="spellStart"/>
      <w:r w:rsidRPr="00F224C4">
        <w:rPr>
          <w:rFonts w:ascii="Calibri" w:hAnsi="Calibri" w:cs="Calibri"/>
          <w:sz w:val="20"/>
          <w:szCs w:val="20"/>
        </w:rPr>
        <w:t>kini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dapat </w:t>
      </w:r>
      <w:proofErr w:type="spellStart"/>
      <w:r w:rsidRPr="00F224C4">
        <w:rPr>
          <w:rFonts w:ascii="Calibri" w:hAnsi="Calibri" w:cs="Calibri"/>
          <w:sz w:val="20"/>
          <w:szCs w:val="20"/>
        </w:rPr>
        <w:t>diakses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lebih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224C4">
        <w:rPr>
          <w:rFonts w:ascii="Calibri" w:hAnsi="Calibri" w:cs="Calibri"/>
          <w:sz w:val="20"/>
          <w:szCs w:val="20"/>
        </w:rPr>
        <w:t>luas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oleh para gamer dan </w:t>
      </w:r>
      <w:proofErr w:type="spellStart"/>
      <w:r w:rsidRPr="00F224C4">
        <w:rPr>
          <w:rFonts w:ascii="Calibri" w:hAnsi="Calibri" w:cs="Calibri"/>
          <w:sz w:val="20"/>
          <w:szCs w:val="20"/>
        </w:rPr>
        <w:t>profesional</w:t>
      </w:r>
      <w:proofErr w:type="spellEnd"/>
      <w:r w:rsidRPr="00F224C4">
        <w:rPr>
          <w:rFonts w:ascii="Calibri" w:hAnsi="Calibri" w:cs="Calibri"/>
          <w:sz w:val="20"/>
          <w:szCs w:val="20"/>
        </w:rPr>
        <w:t xml:space="preserve"> di Tanah Air.</w:t>
      </w:r>
    </w:p>
    <w:p w14:paraId="4BE6785D" w14:textId="70E5FE2A" w:rsidR="006939C7" w:rsidRPr="00A304D8" w:rsidRDefault="006939C7" w:rsidP="006939C7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 w:rsidRPr="00A304D8">
        <w:rPr>
          <w:rFonts w:ascii="Calibri" w:hAnsi="Calibri" w:cs="Calibri"/>
          <w:sz w:val="20"/>
          <w:szCs w:val="20"/>
          <w:lang w:val="id-ID"/>
        </w:rPr>
        <w:t xml:space="preserve">Dengan dukungan distribusi resmi dari PT </w:t>
      </w:r>
      <w:proofErr w:type="spellStart"/>
      <w:r w:rsidRPr="00A304D8">
        <w:rPr>
          <w:rFonts w:ascii="Calibri" w:hAnsi="Calibri" w:cs="Calibri"/>
          <w:sz w:val="20"/>
          <w:szCs w:val="20"/>
          <w:lang w:val="id-ID"/>
        </w:rPr>
        <w:t>Datascrip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, </w:t>
      </w:r>
      <w:r w:rsidR="00855323" w:rsidRPr="00A304D8">
        <w:rPr>
          <w:rFonts w:ascii="Calibri" w:hAnsi="Calibri" w:cs="Calibri"/>
          <w:sz w:val="20"/>
          <w:szCs w:val="20"/>
          <w:lang w:val="id-ID"/>
        </w:rPr>
        <w:t xml:space="preserve">TODAK </w:t>
      </w:r>
      <w:proofErr w:type="spellStart"/>
      <w:r w:rsidR="00A304D8" w:rsidRPr="00A304D8">
        <w:rPr>
          <w:rFonts w:ascii="Calibri" w:hAnsi="Calibri" w:cs="Calibri"/>
          <w:sz w:val="20"/>
          <w:szCs w:val="20"/>
          <w:lang w:val="id-ID"/>
        </w:rPr>
        <w:t>gaming</w:t>
      </w:r>
      <w:proofErr w:type="spellEnd"/>
      <w:r w:rsidR="00A304D8" w:rsidRPr="00A304D8">
        <w:rPr>
          <w:rFonts w:ascii="Calibri" w:hAnsi="Calibri" w:cs="Calibri"/>
          <w:sz w:val="20"/>
          <w:szCs w:val="20"/>
          <w:lang w:val="id-ID"/>
        </w:rPr>
        <w:t xml:space="preserve"> </w:t>
      </w:r>
      <w:proofErr w:type="spellStart"/>
      <w:r w:rsidR="00A304D8" w:rsidRPr="00A304D8">
        <w:rPr>
          <w:rFonts w:ascii="Calibri" w:hAnsi="Calibri" w:cs="Calibri"/>
          <w:sz w:val="20"/>
          <w:szCs w:val="20"/>
          <w:lang w:val="id-ID"/>
        </w:rPr>
        <w:t>chair</w:t>
      </w:r>
      <w:proofErr w:type="spellEnd"/>
      <w:r w:rsidR="00A304D8" w:rsidRPr="00A304D8">
        <w:rPr>
          <w:rFonts w:ascii="Calibri" w:hAnsi="Calibri" w:cs="Calibri"/>
          <w:sz w:val="20"/>
          <w:szCs w:val="20"/>
          <w:lang w:val="id-ID"/>
        </w:rPr>
        <w:t xml:space="preserve"> dan </w:t>
      </w:r>
      <w:proofErr w:type="spellStart"/>
      <w:r w:rsidR="00A304D8" w:rsidRPr="00A304D8">
        <w:rPr>
          <w:rFonts w:ascii="Calibri" w:hAnsi="Calibri" w:cs="Calibri"/>
          <w:sz w:val="20"/>
          <w:szCs w:val="20"/>
          <w:lang w:val="id-ID"/>
        </w:rPr>
        <w:t>merchandise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semakin mudah dijangkau oleh para pengguna di berbagai segmen</w:t>
      </w:r>
      <w:r w:rsidR="006D4DBB" w:rsidRPr="00A304D8">
        <w:rPr>
          <w:rFonts w:ascii="Calibri" w:hAnsi="Calibri" w:cs="Calibri"/>
          <w:sz w:val="20"/>
          <w:szCs w:val="20"/>
          <w:lang w:val="id-ID"/>
        </w:rPr>
        <w:t>. M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ulai dari </w:t>
      </w:r>
      <w:r w:rsidR="006D4DBB" w:rsidRPr="00A304D8">
        <w:rPr>
          <w:rFonts w:ascii="Calibri" w:hAnsi="Calibri" w:cs="Calibri"/>
          <w:sz w:val="20"/>
          <w:szCs w:val="20"/>
          <w:lang w:val="id-ID"/>
        </w:rPr>
        <w:t xml:space="preserve">para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gamer</w:t>
      </w:r>
      <w:r w:rsidR="00C176DC" w:rsidRPr="00A304D8">
        <w:rPr>
          <w:rFonts w:ascii="Calibri" w:hAnsi="Calibri" w:cs="Calibri"/>
          <w:i/>
          <w:iCs/>
          <w:sz w:val="20"/>
          <w:szCs w:val="20"/>
          <w:lang w:val="id-ID"/>
        </w:rPr>
        <w:t>s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hingga pekerja kreatif yang menghabiskan waktu lama di depan layar. Mengandalkan konstruksi ergonomis yang dipadukan dengan material berkualitas, kursi </w:t>
      </w:r>
      <w:proofErr w:type="spellStart"/>
      <w:r w:rsidR="00F224C4">
        <w:rPr>
          <w:rFonts w:ascii="Calibri" w:hAnsi="Calibri" w:cs="Calibri"/>
          <w:sz w:val="20"/>
          <w:szCs w:val="20"/>
          <w:lang w:val="id-ID"/>
        </w:rPr>
        <w:t>gaming</w:t>
      </w:r>
      <w:proofErr w:type="spellEnd"/>
      <w:r w:rsidR="00F224C4">
        <w:rPr>
          <w:rFonts w:ascii="Calibri" w:hAnsi="Calibri" w:cs="Calibri"/>
          <w:sz w:val="20"/>
          <w:szCs w:val="20"/>
          <w:lang w:val="id-ID"/>
        </w:rPr>
        <w:t xml:space="preserve"> TODAK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 menawarkan kombinasi kenyamanan, fleksibilitas, dan daya tahan dalam satu paket.</w:t>
      </w:r>
    </w:p>
    <w:p w14:paraId="02E6A5D4" w14:textId="4E3420EA" w:rsidR="006D4DBB" w:rsidRPr="00A304D8" w:rsidRDefault="00A304D8" w:rsidP="006939C7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 w:rsidRPr="00A304D8">
        <w:rPr>
          <w:rFonts w:ascii="Calibri" w:hAnsi="Calibri" w:cs="Calibri"/>
          <w:sz w:val="20"/>
          <w:szCs w:val="20"/>
        </w:rPr>
        <w:t xml:space="preserve">Salah </w:t>
      </w:r>
      <w:proofErr w:type="spellStart"/>
      <w:r w:rsidRPr="00A304D8">
        <w:rPr>
          <w:rFonts w:ascii="Calibri" w:hAnsi="Calibri" w:cs="Calibri"/>
          <w:sz w:val="20"/>
          <w:szCs w:val="20"/>
        </w:rPr>
        <w:t>satu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kursi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gaming TODAK — </w:t>
      </w:r>
      <w:r w:rsidRPr="00A304D8">
        <w:rPr>
          <w:rFonts w:ascii="Calibri" w:hAnsi="Calibri" w:cs="Calibri"/>
          <w:b/>
          <w:bCs/>
          <w:sz w:val="20"/>
          <w:szCs w:val="20"/>
        </w:rPr>
        <w:t>TODAK Throne</w:t>
      </w:r>
      <w:r w:rsidRPr="00A304D8">
        <w:rPr>
          <w:rFonts w:ascii="Calibri" w:hAnsi="Calibri" w:cs="Calibri"/>
          <w:sz w:val="20"/>
          <w:szCs w:val="20"/>
        </w:rPr>
        <w:t xml:space="preserve"> —</w:t>
      </w:r>
      <w:r>
        <w:rPr>
          <w:rFonts w:ascii="Calibri" w:hAnsi="Calibri" w:cs="Calibri"/>
          <w:sz w:val="20"/>
          <w:szCs w:val="20"/>
        </w:rPr>
        <w:t xml:space="preserve"> </w:t>
      </w:r>
      <w:r w:rsidR="006D4DBB" w:rsidRPr="00A304D8">
        <w:rPr>
          <w:rFonts w:ascii="Calibri" w:hAnsi="Calibri" w:cs="Calibri"/>
          <w:sz w:val="20"/>
          <w:szCs w:val="20"/>
          <w:lang w:val="id-ID"/>
        </w:rPr>
        <w:t>memiliki l</w:t>
      </w:r>
      <w:r w:rsidR="006939C7" w:rsidRPr="00A304D8">
        <w:rPr>
          <w:rFonts w:ascii="Calibri" w:hAnsi="Calibri" w:cs="Calibri"/>
          <w:sz w:val="20"/>
          <w:szCs w:val="20"/>
          <w:lang w:val="id-ID"/>
        </w:rPr>
        <w:t xml:space="preserve">apisan kulit PU premium </w:t>
      </w:r>
      <w:r w:rsidR="00B37E16" w:rsidRPr="00A304D8">
        <w:rPr>
          <w:rFonts w:ascii="Calibri" w:hAnsi="Calibri" w:cs="Calibri"/>
          <w:sz w:val="20"/>
          <w:szCs w:val="20"/>
          <w:lang w:val="id-ID"/>
        </w:rPr>
        <w:t xml:space="preserve">yang </w:t>
      </w:r>
      <w:r w:rsidR="006939C7" w:rsidRPr="00A304D8">
        <w:rPr>
          <w:rFonts w:ascii="Calibri" w:hAnsi="Calibri" w:cs="Calibri"/>
          <w:sz w:val="20"/>
          <w:szCs w:val="20"/>
          <w:lang w:val="id-ID"/>
        </w:rPr>
        <w:t xml:space="preserve">memberikan keseimbangan antara tekstur lembut dan ketahanan terhadap penggunaan intensif, sementara rangka metal yang kokoh dan </w:t>
      </w:r>
      <w:proofErr w:type="spellStart"/>
      <w:r w:rsidR="006939C7" w:rsidRPr="00A304D8">
        <w:rPr>
          <w:rFonts w:ascii="Calibri" w:hAnsi="Calibri" w:cs="Calibri"/>
          <w:sz w:val="20"/>
          <w:szCs w:val="20"/>
          <w:lang w:val="id-ID"/>
        </w:rPr>
        <w:t>base</w:t>
      </w:r>
      <w:proofErr w:type="spellEnd"/>
      <w:r w:rsidR="006939C7" w:rsidRPr="00A304D8">
        <w:rPr>
          <w:rFonts w:ascii="Calibri" w:hAnsi="Calibri" w:cs="Calibri"/>
          <w:sz w:val="20"/>
          <w:szCs w:val="20"/>
          <w:lang w:val="id-ID"/>
        </w:rPr>
        <w:t xml:space="preserve"> datar stabil menjaga kestabilan dalam berbagai gaya duduk. </w:t>
      </w:r>
    </w:p>
    <w:p w14:paraId="63A46418" w14:textId="3C9BB779" w:rsidR="006939C7" w:rsidRPr="00A304D8" w:rsidRDefault="006939C7" w:rsidP="006939C7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 w:rsidRPr="00A304D8">
        <w:rPr>
          <w:rFonts w:ascii="Calibri" w:hAnsi="Calibri" w:cs="Calibri"/>
          <w:sz w:val="20"/>
          <w:szCs w:val="20"/>
          <w:lang w:val="id-ID"/>
        </w:rPr>
        <w:t xml:space="preserve">Pengguna dapat menyesuaikan posisi sesuai preferensi berkat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reclining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hingga 180°, dilengkapi 4D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armrests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dan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adjustable</w:t>
      </w:r>
      <w:proofErr w:type="spellEnd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lumbar</w:t>
      </w:r>
      <w:proofErr w:type="spellEnd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support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yang menopang postur tubuh secara optimal. Mobilitas</w:t>
      </w:r>
      <w:r w:rsidR="006D4DBB" w:rsidRPr="00A304D8">
        <w:rPr>
          <w:rFonts w:ascii="Calibri" w:hAnsi="Calibri" w:cs="Calibri"/>
          <w:sz w:val="20"/>
          <w:szCs w:val="20"/>
          <w:lang w:val="id-ID"/>
        </w:rPr>
        <w:t xml:space="preserve"> pengguna kursi ini juga akan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 tetap terasa mulus berkat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hubless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wheel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6D4DBB" w:rsidRPr="00A304D8">
        <w:rPr>
          <w:rFonts w:ascii="Calibri" w:hAnsi="Calibri" w:cs="Calibri"/>
          <w:sz w:val="20"/>
          <w:szCs w:val="20"/>
          <w:lang w:val="id-ID"/>
        </w:rPr>
        <w:t>yang mendukung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 putaran halus,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sementara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konstruksinya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mampu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menahan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beban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hingga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150 kg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sehingga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dapat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diandalkan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sebagai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kursi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</w:t>
      </w:r>
      <w:r w:rsidR="00217C6D" w:rsidRPr="00A304D8">
        <w:rPr>
          <w:rFonts w:ascii="Calibri" w:hAnsi="Calibri" w:cs="Calibri"/>
          <w:i/>
          <w:iCs/>
          <w:sz w:val="20"/>
          <w:szCs w:val="20"/>
        </w:rPr>
        <w:t>gaming</w:t>
      </w:r>
      <w:r w:rsidR="00217C6D" w:rsidRPr="00A304D8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kuat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217C6D" w:rsidRPr="00A304D8">
        <w:rPr>
          <w:rFonts w:ascii="Calibri" w:hAnsi="Calibri" w:cs="Calibri"/>
          <w:sz w:val="20"/>
          <w:szCs w:val="20"/>
        </w:rPr>
        <w:t>tahan</w:t>
      </w:r>
      <w:proofErr w:type="spellEnd"/>
      <w:r w:rsidR="00217C6D" w:rsidRPr="00A304D8">
        <w:rPr>
          <w:rFonts w:ascii="Calibri" w:hAnsi="Calibri" w:cs="Calibri"/>
          <w:sz w:val="20"/>
          <w:szCs w:val="20"/>
        </w:rPr>
        <w:t xml:space="preserve"> lama.</w:t>
      </w:r>
    </w:p>
    <w:p w14:paraId="34A0E488" w14:textId="67B312E3" w:rsidR="006939C7" w:rsidRPr="00A304D8" w:rsidRDefault="006939C7" w:rsidP="006939C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id-ID"/>
        </w:rPr>
      </w:pPr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“Kami bangga menunjuk PT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Datascrip</w:t>
      </w:r>
      <w:proofErr w:type="spellEnd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 sebagai distributor resmi </w:t>
      </w:r>
      <w:r w:rsidR="00855323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TODAK </w:t>
      </w:r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di </w:t>
      </w:r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Indonesia. Pengalaman panjang dan jaringan distribusi nasional yang dimiliki </w:t>
      </w:r>
      <w:proofErr w:type="spellStart"/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>Datascrip</w:t>
      </w:r>
      <w:proofErr w:type="spellEnd"/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 akan mempercepat pertumbuhan </w:t>
      </w:r>
      <w:r w:rsidR="00855323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TODAK </w:t>
      </w:r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 serta memastikan pelanggan di seluruh Indonesia mendapatkan produk dan layanan terbaik</w:t>
      </w:r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,”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 ujar </w:t>
      </w:r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Shinta W. </w:t>
      </w:r>
      <w:proofErr w:type="spellStart"/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>Dhanuwardoyo</w:t>
      </w:r>
      <w:proofErr w:type="spellEnd"/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, Presiden Direktur PT </w:t>
      </w:r>
      <w:r w:rsidR="00855323"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TODAK </w:t>
      </w:r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 Nusantara Group. </w:t>
      </w:r>
    </w:p>
    <w:p w14:paraId="1B6BF9E5" w14:textId="02FE1013" w:rsidR="006939C7" w:rsidRPr="00A304D8" w:rsidRDefault="006939C7" w:rsidP="006939C7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“Kami sangat antusias bekerja sama dengan </w:t>
      </w:r>
      <w:r w:rsidR="00855323" w:rsidRPr="00A304D8">
        <w:rPr>
          <w:rFonts w:ascii="Calibri" w:hAnsi="Calibri" w:cs="Calibri"/>
          <w:i/>
          <w:iCs/>
          <w:sz w:val="20"/>
          <w:szCs w:val="20"/>
          <w:lang w:val="id-ID"/>
        </w:rPr>
        <w:t>TODAK</w:t>
      </w:r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, sebuah merek yang memiliki semangat yang sama terhadap kualitas dan inovasi</w:t>
      </w:r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. Melalui jaringan distribusi nasional kami, kami ingin menghadirkan pengalaman </w:t>
      </w:r>
      <w:proofErr w:type="spellStart"/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>gaming</w:t>
      </w:r>
      <w:proofErr w:type="spellEnd"/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 kelas dunia dari </w:t>
      </w:r>
      <w:r w:rsidR="00855323" w:rsidRPr="00A304D8">
        <w:rPr>
          <w:rFonts w:ascii="Calibri" w:hAnsi="Calibri" w:cs="Calibri"/>
          <w:i/>
          <w:iCs/>
          <w:sz w:val="20"/>
          <w:szCs w:val="20"/>
          <w:lang w:val="id-ID"/>
        </w:rPr>
        <w:t xml:space="preserve">TODAK </w:t>
      </w:r>
      <w:r w:rsidR="00046CC0" w:rsidRPr="00A304D8">
        <w:rPr>
          <w:rFonts w:ascii="Calibri" w:hAnsi="Calibri" w:cs="Calibri"/>
          <w:i/>
          <w:iCs/>
          <w:sz w:val="20"/>
          <w:szCs w:val="20"/>
          <w:lang w:val="id-ID"/>
        </w:rPr>
        <w:t>ke seluruh penjuru Indonesia.</w:t>
      </w:r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”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 tambah </w:t>
      </w:r>
      <w:proofErr w:type="spellStart"/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>Sintra</w:t>
      </w:r>
      <w:proofErr w:type="spellEnd"/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 Wong, </w:t>
      </w:r>
      <w:r w:rsidR="006D4DBB"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Direktur </w:t>
      </w:r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PT </w:t>
      </w:r>
      <w:proofErr w:type="spellStart"/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>Datascrip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. </w:t>
      </w:r>
    </w:p>
    <w:p w14:paraId="185E7A6B" w14:textId="67BB5722" w:rsidR="006939C7" w:rsidRPr="00A304D8" w:rsidRDefault="006939C7" w:rsidP="006939C7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 w:rsidRPr="00A304D8">
        <w:rPr>
          <w:rFonts w:ascii="Calibri" w:hAnsi="Calibri" w:cs="Calibri"/>
          <w:sz w:val="20"/>
          <w:szCs w:val="20"/>
          <w:lang w:val="id-ID"/>
        </w:rPr>
        <w:t xml:space="preserve">Sebagai distributor resmi, PT </w:t>
      </w:r>
      <w:proofErr w:type="spellStart"/>
      <w:r w:rsidRPr="00A304D8">
        <w:rPr>
          <w:rFonts w:ascii="Calibri" w:hAnsi="Calibri" w:cs="Calibri"/>
          <w:sz w:val="20"/>
          <w:szCs w:val="20"/>
          <w:lang w:val="id-ID"/>
        </w:rPr>
        <w:t>Datascrip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akan memastikan ketersediaan </w:t>
      </w:r>
      <w:r w:rsidR="00855323" w:rsidRPr="00A304D8">
        <w:rPr>
          <w:rFonts w:ascii="Calibri" w:hAnsi="Calibri" w:cs="Calibri"/>
          <w:sz w:val="20"/>
          <w:szCs w:val="20"/>
          <w:lang w:val="id-ID"/>
        </w:rPr>
        <w:t xml:space="preserve">TODAK 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  <w:lang w:val="id-ID"/>
        </w:rPr>
        <w:t>Throne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di berbagai kanal penjualan</w:t>
      </w:r>
      <w:r w:rsidR="006D4DBB" w:rsidRPr="00A304D8">
        <w:rPr>
          <w:rFonts w:ascii="Calibri" w:hAnsi="Calibri" w:cs="Calibri"/>
          <w:sz w:val="20"/>
          <w:szCs w:val="20"/>
          <w:lang w:val="id-ID"/>
        </w:rPr>
        <w:t>. M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ulai dari ritel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offline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hingga platform </w:t>
      </w:r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e-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commerce</w:t>
      </w:r>
      <w:proofErr w:type="spellEnd"/>
      <w:r w:rsidR="006D4DBB" w:rsidRPr="00A304D8">
        <w:rPr>
          <w:rFonts w:ascii="Calibri" w:hAnsi="Calibri" w:cs="Calibri"/>
          <w:sz w:val="20"/>
          <w:szCs w:val="20"/>
          <w:lang w:val="id-ID"/>
        </w:rPr>
        <w:t xml:space="preserve">, 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sekaligus menyediakan dukungan layanan purnajual yang terpercaya. Sementara itu, </w:t>
      </w:r>
      <w:r w:rsidR="00855323" w:rsidRPr="00A304D8">
        <w:rPr>
          <w:rFonts w:ascii="Calibri" w:hAnsi="Calibri" w:cs="Calibri"/>
          <w:sz w:val="20"/>
          <w:szCs w:val="20"/>
          <w:lang w:val="id-ID"/>
        </w:rPr>
        <w:t>TODAK</w:t>
      </w:r>
      <w:r w:rsidRPr="00A304D8">
        <w:rPr>
          <w:rFonts w:ascii="Calibri" w:hAnsi="Calibri" w:cs="Calibri"/>
          <w:sz w:val="20"/>
          <w:szCs w:val="20"/>
          <w:lang w:val="id-ID"/>
        </w:rPr>
        <w:t xml:space="preserve"> Nusantara akan tetap berfokus pada penguatan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brand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, </w:t>
      </w:r>
      <w:proofErr w:type="spellStart"/>
      <w:r w:rsidRPr="00A304D8">
        <w:rPr>
          <w:rFonts w:ascii="Calibri" w:hAnsi="Calibri" w:cs="Calibri"/>
          <w:sz w:val="20"/>
          <w:szCs w:val="20"/>
          <w:lang w:val="id-ID"/>
        </w:rPr>
        <w:t>aktivasi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komunitas, serta pemasaran untuk memperkuat posisinya dalam ekosistem </w:t>
      </w:r>
      <w:proofErr w:type="spellStart"/>
      <w:r w:rsidRPr="00A304D8">
        <w:rPr>
          <w:rFonts w:ascii="Calibri" w:hAnsi="Calibri" w:cs="Calibri"/>
          <w:i/>
          <w:iCs/>
          <w:sz w:val="20"/>
          <w:szCs w:val="20"/>
          <w:lang w:val="id-ID"/>
        </w:rPr>
        <w:t>gaming</w:t>
      </w:r>
      <w:proofErr w:type="spellEnd"/>
      <w:r w:rsidRPr="00A304D8">
        <w:rPr>
          <w:rFonts w:ascii="Calibri" w:hAnsi="Calibri" w:cs="Calibri"/>
          <w:sz w:val="20"/>
          <w:szCs w:val="20"/>
          <w:lang w:val="id-ID"/>
        </w:rPr>
        <w:t xml:space="preserve"> dan industri kreatif Indonesia.</w:t>
      </w:r>
    </w:p>
    <w:p w14:paraId="2DF14B9A" w14:textId="46E68686" w:rsidR="006A5C9F" w:rsidRPr="00A304D8" w:rsidRDefault="006A5C9F" w:rsidP="006939C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304D8">
        <w:rPr>
          <w:rFonts w:ascii="Calibri" w:hAnsi="Calibri" w:cs="Calibri"/>
          <w:sz w:val="20"/>
          <w:szCs w:val="20"/>
        </w:rPr>
        <w:t xml:space="preserve">Bagi </w:t>
      </w:r>
      <w:r w:rsidR="00855323" w:rsidRPr="00A304D8">
        <w:rPr>
          <w:rFonts w:ascii="Calibri" w:hAnsi="Calibri" w:cs="Calibri"/>
          <w:sz w:val="20"/>
          <w:szCs w:val="20"/>
        </w:rPr>
        <w:t xml:space="preserve">TODAK </w:t>
      </w:r>
      <w:r w:rsidRPr="00A304D8">
        <w:rPr>
          <w:rFonts w:ascii="Calibri" w:hAnsi="Calibri" w:cs="Calibri"/>
          <w:sz w:val="20"/>
          <w:szCs w:val="20"/>
        </w:rPr>
        <w:t xml:space="preserve">dan PT Datascrip, </w:t>
      </w:r>
      <w:r w:rsidR="00855323" w:rsidRPr="00A304D8">
        <w:rPr>
          <w:rFonts w:ascii="Calibri" w:hAnsi="Calibri" w:cs="Calibri"/>
          <w:sz w:val="20"/>
          <w:szCs w:val="20"/>
        </w:rPr>
        <w:t xml:space="preserve">TODAK </w:t>
      </w:r>
      <w:r w:rsidR="00445A42">
        <w:rPr>
          <w:rFonts w:ascii="Calibri" w:hAnsi="Calibri" w:cs="Calibri"/>
          <w:sz w:val="20"/>
          <w:szCs w:val="20"/>
        </w:rPr>
        <w:t>gaming chair</w:t>
      </w:r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bukan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hanya </w:t>
      </w:r>
      <w:proofErr w:type="spellStart"/>
      <w:r w:rsidRPr="00A304D8">
        <w:rPr>
          <w:rFonts w:ascii="Calibri" w:hAnsi="Calibri" w:cs="Calibri"/>
          <w:sz w:val="20"/>
          <w:szCs w:val="20"/>
        </w:rPr>
        <w:t>soal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kenyamanan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duduk, </w:t>
      </w:r>
      <w:proofErr w:type="spellStart"/>
      <w:r w:rsidRPr="00A304D8">
        <w:rPr>
          <w:rFonts w:ascii="Calibri" w:hAnsi="Calibri" w:cs="Calibri"/>
          <w:sz w:val="20"/>
          <w:szCs w:val="20"/>
        </w:rPr>
        <w:t>tetapi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representasi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gaya </w:t>
      </w:r>
      <w:proofErr w:type="spellStart"/>
      <w:r w:rsidRPr="00A304D8">
        <w:rPr>
          <w:rFonts w:ascii="Calibri" w:hAnsi="Calibri" w:cs="Calibri"/>
          <w:sz w:val="20"/>
          <w:szCs w:val="20"/>
        </w:rPr>
        <w:t>hidup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para </w:t>
      </w:r>
      <w:r w:rsidRPr="00A304D8">
        <w:rPr>
          <w:rFonts w:ascii="Calibri" w:hAnsi="Calibri" w:cs="Calibri"/>
          <w:i/>
          <w:iCs/>
          <w:sz w:val="20"/>
          <w:szCs w:val="20"/>
        </w:rPr>
        <w:t>gamer</w:t>
      </w:r>
      <w:r w:rsidRPr="00A304D8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A304D8">
        <w:rPr>
          <w:rFonts w:ascii="Calibri" w:hAnsi="Calibri" w:cs="Calibri"/>
          <w:sz w:val="20"/>
          <w:szCs w:val="20"/>
        </w:rPr>
        <w:t>pekerja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kreatif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304D8">
        <w:rPr>
          <w:rFonts w:ascii="Calibri" w:hAnsi="Calibri" w:cs="Calibri"/>
          <w:sz w:val="20"/>
          <w:szCs w:val="20"/>
        </w:rPr>
        <w:t>berani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tampil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beda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A304D8">
        <w:rPr>
          <w:rFonts w:ascii="Calibri" w:hAnsi="Calibri" w:cs="Calibri"/>
          <w:sz w:val="20"/>
          <w:szCs w:val="20"/>
        </w:rPr>
        <w:t>Filosofi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r w:rsidR="00855323" w:rsidRPr="00A304D8">
        <w:rPr>
          <w:rFonts w:ascii="Calibri" w:hAnsi="Calibri" w:cs="Calibri"/>
          <w:sz w:val="20"/>
          <w:szCs w:val="20"/>
        </w:rPr>
        <w:t>TODAK</w:t>
      </w:r>
      <w:r w:rsidRPr="00A304D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304D8">
        <w:rPr>
          <w:rFonts w:ascii="Calibri" w:hAnsi="Calibri" w:cs="Calibri"/>
          <w:sz w:val="20"/>
          <w:szCs w:val="20"/>
        </w:rPr>
        <w:t>yaitu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r w:rsidRPr="00A304D8">
        <w:rPr>
          <w:rFonts w:ascii="Calibri" w:hAnsi="Calibri" w:cs="Calibri"/>
          <w:i/>
          <w:iCs/>
          <w:sz w:val="20"/>
          <w:szCs w:val="20"/>
        </w:rPr>
        <w:t xml:space="preserve">Game Bold. Live Loud. </w:t>
      </w:r>
      <w:r w:rsidR="00855323" w:rsidRPr="00A304D8">
        <w:rPr>
          <w:rFonts w:ascii="Calibri" w:hAnsi="Calibri" w:cs="Calibri"/>
          <w:i/>
          <w:iCs/>
          <w:sz w:val="20"/>
          <w:szCs w:val="20"/>
        </w:rPr>
        <w:t>TODAK</w:t>
      </w:r>
      <w:r w:rsidRPr="00A304D8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304D8">
        <w:rPr>
          <w:rFonts w:ascii="Calibri" w:hAnsi="Calibri" w:cs="Calibri"/>
          <w:i/>
          <w:iCs/>
          <w:sz w:val="20"/>
          <w:szCs w:val="20"/>
        </w:rPr>
        <w:lastRenderedPageBreak/>
        <w:t>Proud</w:t>
      </w:r>
      <w:r w:rsidRPr="00A304D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304D8">
        <w:rPr>
          <w:rFonts w:ascii="Calibri" w:hAnsi="Calibri" w:cs="Calibri"/>
          <w:sz w:val="20"/>
          <w:szCs w:val="20"/>
        </w:rPr>
        <w:t>terwujud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melalui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desain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304D8">
        <w:rPr>
          <w:rFonts w:ascii="Calibri" w:hAnsi="Calibri" w:cs="Calibri"/>
          <w:sz w:val="20"/>
          <w:szCs w:val="20"/>
        </w:rPr>
        <w:t>ketahanan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, dan </w:t>
      </w:r>
      <w:proofErr w:type="spellStart"/>
      <w:r w:rsidRPr="00A304D8">
        <w:rPr>
          <w:rFonts w:ascii="Calibri" w:hAnsi="Calibri" w:cs="Calibri"/>
          <w:sz w:val="20"/>
          <w:szCs w:val="20"/>
        </w:rPr>
        <w:t>fungsionalitas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kursi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ini yang </w:t>
      </w:r>
      <w:proofErr w:type="spellStart"/>
      <w:r w:rsidRPr="00A304D8">
        <w:rPr>
          <w:rFonts w:ascii="Calibri" w:hAnsi="Calibri" w:cs="Calibri"/>
          <w:sz w:val="20"/>
          <w:szCs w:val="20"/>
        </w:rPr>
        <w:t>mendorong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penggunanya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untuk </w:t>
      </w:r>
      <w:proofErr w:type="spellStart"/>
      <w:r w:rsidRPr="00A304D8">
        <w:rPr>
          <w:rFonts w:ascii="Calibri" w:hAnsi="Calibri" w:cs="Calibri"/>
          <w:sz w:val="20"/>
          <w:szCs w:val="20"/>
        </w:rPr>
        <w:t>bergerak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lebih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percaya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diri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dalam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setiap</w:t>
      </w:r>
      <w:proofErr w:type="spellEnd"/>
      <w:r w:rsidRPr="00A304D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304D8">
        <w:rPr>
          <w:rFonts w:ascii="Calibri" w:hAnsi="Calibri" w:cs="Calibri"/>
          <w:sz w:val="20"/>
          <w:szCs w:val="20"/>
        </w:rPr>
        <w:t>aktivitas</w:t>
      </w:r>
      <w:proofErr w:type="spellEnd"/>
      <w:r w:rsidRPr="00A304D8">
        <w:rPr>
          <w:rFonts w:ascii="Calibri" w:hAnsi="Calibri" w:cs="Calibri"/>
          <w:sz w:val="20"/>
          <w:szCs w:val="20"/>
        </w:rPr>
        <w:t>.</w:t>
      </w:r>
    </w:p>
    <w:p w14:paraId="5BE55DAD" w14:textId="77777777" w:rsidR="00B37E16" w:rsidRPr="00A304D8" w:rsidRDefault="00B37E16" w:rsidP="006939C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C45069B" w14:textId="14DADDB2" w:rsidR="00B37E16" w:rsidRPr="008E5FEA" w:rsidRDefault="00B37E16" w:rsidP="00B37E16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8E5FEA">
        <w:rPr>
          <w:rFonts w:ascii="Calibri" w:hAnsi="Calibri" w:cs="Calibri"/>
          <w:sz w:val="20"/>
          <w:szCs w:val="20"/>
          <w:lang w:val="en-ID"/>
        </w:rPr>
        <w:t xml:space="preserve">PT </w:t>
      </w:r>
      <w:proofErr w:type="spellStart"/>
      <w:r w:rsidRPr="008E5FEA">
        <w:rPr>
          <w:rFonts w:ascii="Calibri" w:hAnsi="Calibri" w:cs="Calibri"/>
          <w:sz w:val="20"/>
          <w:szCs w:val="20"/>
          <w:lang w:val="en-ID"/>
        </w:rPr>
        <w:t>Datascrip</w:t>
      </w:r>
      <w:proofErr w:type="spellEnd"/>
      <w:r w:rsidRPr="008E5FEA">
        <w:rPr>
          <w:rFonts w:ascii="Calibri" w:hAnsi="Calibri" w:cs="Calibri"/>
          <w:sz w:val="20"/>
          <w:szCs w:val="20"/>
          <w:lang w:val="en-ID"/>
        </w:rPr>
        <w:t xml:space="preserve"> </w:t>
      </w:r>
      <w:proofErr w:type="spellStart"/>
      <w:r w:rsidRPr="008E5FEA">
        <w:rPr>
          <w:rFonts w:ascii="Calibri" w:hAnsi="Calibri" w:cs="Calibri"/>
          <w:sz w:val="20"/>
          <w:szCs w:val="20"/>
          <w:lang w:val="en-ID"/>
        </w:rPr>
        <w:t>sebagai</w:t>
      </w:r>
      <w:proofErr w:type="spellEnd"/>
      <w:r w:rsidRPr="008E5FEA">
        <w:rPr>
          <w:rFonts w:ascii="Calibri" w:hAnsi="Calibri" w:cs="Calibri"/>
          <w:sz w:val="20"/>
          <w:szCs w:val="20"/>
          <w:lang w:val="en-ID"/>
        </w:rPr>
        <w:t xml:space="preserve"> distributor </w:t>
      </w:r>
      <w:proofErr w:type="spellStart"/>
      <w:r w:rsidR="00665CCC" w:rsidRPr="008E5FEA">
        <w:rPr>
          <w:rFonts w:ascii="Calibri" w:hAnsi="Calibri" w:cs="Calibri"/>
          <w:sz w:val="20"/>
          <w:szCs w:val="20"/>
          <w:lang w:val="en-ID"/>
        </w:rPr>
        <w:t>resmi</w:t>
      </w:r>
      <w:proofErr w:type="spellEnd"/>
      <w:r w:rsidRPr="008E5FEA">
        <w:rPr>
          <w:rFonts w:ascii="Calibri" w:hAnsi="Calibri" w:cs="Calibri"/>
          <w:sz w:val="20"/>
          <w:szCs w:val="20"/>
          <w:lang w:val="en-ID"/>
        </w:rPr>
        <w:t xml:space="preserve"> </w:t>
      </w:r>
      <w:proofErr w:type="spellStart"/>
      <w:r w:rsidRPr="008E5FEA">
        <w:rPr>
          <w:rFonts w:ascii="Calibri" w:hAnsi="Calibri" w:cs="Calibri"/>
          <w:sz w:val="20"/>
          <w:szCs w:val="20"/>
          <w:lang w:val="en-ID"/>
        </w:rPr>
        <w:t>produk</w:t>
      </w:r>
      <w:proofErr w:type="spellEnd"/>
      <w:r w:rsidRPr="008E5FEA">
        <w:rPr>
          <w:rFonts w:ascii="Calibri" w:hAnsi="Calibri" w:cs="Calibri"/>
          <w:sz w:val="20"/>
          <w:szCs w:val="20"/>
          <w:lang w:val="en-ID"/>
        </w:rPr>
        <w:t xml:space="preserve"> </w:t>
      </w:r>
      <w:r w:rsidR="00855323" w:rsidRPr="008E5FEA">
        <w:rPr>
          <w:rFonts w:ascii="Calibri" w:hAnsi="Calibri" w:cs="Calibri"/>
          <w:sz w:val="20"/>
          <w:szCs w:val="20"/>
          <w:lang w:val="en-ID"/>
        </w:rPr>
        <w:t xml:space="preserve">TODAK </w:t>
      </w:r>
      <w:r w:rsidRPr="008E5FEA">
        <w:rPr>
          <w:rFonts w:ascii="Calibri" w:hAnsi="Calibri" w:cs="Calibri"/>
          <w:sz w:val="20"/>
          <w:szCs w:val="20"/>
          <w:lang w:val="en-ID"/>
        </w:rPr>
        <w:t>di Indonesia</w:t>
      </w:r>
      <w:r w:rsidRPr="008E5FEA">
        <w:rPr>
          <w:rFonts w:ascii="Calibri" w:hAnsi="Calibri" w:cs="Calibri"/>
          <w:i/>
          <w:iCs/>
          <w:sz w:val="20"/>
          <w:szCs w:val="20"/>
          <w:lang w:val="en-ID"/>
        </w:rPr>
        <w:t xml:space="preserve"> </w:t>
      </w:r>
      <w:proofErr w:type="spellStart"/>
      <w:r w:rsidRPr="008E5FEA">
        <w:rPr>
          <w:rFonts w:ascii="Calibri" w:hAnsi="Calibri" w:cs="Calibri"/>
          <w:sz w:val="20"/>
          <w:szCs w:val="20"/>
          <w:lang w:val="en-ID"/>
        </w:rPr>
        <w:t>memasarkan</w:t>
      </w:r>
      <w:proofErr w:type="spellEnd"/>
      <w:r w:rsidRPr="008E5FEA">
        <w:rPr>
          <w:rFonts w:ascii="Calibri" w:hAnsi="Calibri" w:cs="Calibri"/>
          <w:sz w:val="20"/>
          <w:szCs w:val="20"/>
          <w:lang w:val="en-ID"/>
        </w:rPr>
        <w:t>:</w:t>
      </w:r>
    </w:p>
    <w:p w14:paraId="083E6212" w14:textId="1123999B" w:rsidR="00B37E16" w:rsidRPr="00A304D8" w:rsidRDefault="00855323" w:rsidP="00B37E16">
      <w:pPr>
        <w:spacing w:line="240" w:lineRule="auto"/>
        <w:ind w:right="238"/>
        <w:jc w:val="both"/>
        <w:rPr>
          <w:rFonts w:ascii="Calibri" w:hAnsi="Calibri" w:cs="Calibri"/>
          <w:b/>
          <w:bCs/>
          <w:sz w:val="20"/>
          <w:szCs w:val="20"/>
          <w:highlight w:val="yellow"/>
          <w:lang w:val="en-ID"/>
        </w:rPr>
      </w:pPr>
      <w:r w:rsidRPr="00A304D8">
        <w:rPr>
          <w:rFonts w:ascii="Calibri" w:hAnsi="Calibri" w:cs="Calibri"/>
          <w:b/>
          <w:bCs/>
          <w:sz w:val="20"/>
          <w:szCs w:val="20"/>
          <w:lang w:val="id-ID"/>
        </w:rPr>
        <w:t xml:space="preserve">TODAK </w:t>
      </w:r>
      <w:proofErr w:type="spellStart"/>
      <w:r w:rsidR="00B37E16" w:rsidRPr="00A304D8">
        <w:rPr>
          <w:rFonts w:ascii="Calibri" w:hAnsi="Calibri" w:cs="Calibri"/>
          <w:b/>
          <w:bCs/>
          <w:sz w:val="20"/>
          <w:szCs w:val="20"/>
          <w:lang w:val="id-ID"/>
        </w:rPr>
        <w:t>Throne</w:t>
      </w:r>
      <w:proofErr w:type="spellEnd"/>
      <w:r w:rsidR="00B37E16" w:rsidRPr="00A304D8">
        <w:rPr>
          <w:rFonts w:ascii="Calibri" w:hAnsi="Calibri" w:cs="Calibri"/>
          <w:sz w:val="20"/>
          <w:szCs w:val="20"/>
          <w:lang w:val="en-ID"/>
        </w:rPr>
        <w:t xml:space="preserve"> </w:t>
      </w:r>
      <w:proofErr w:type="spellStart"/>
      <w:r w:rsidR="00B37E16" w:rsidRPr="00A304D8">
        <w:rPr>
          <w:rFonts w:ascii="Calibri" w:hAnsi="Calibri" w:cs="Calibri"/>
          <w:sz w:val="20"/>
          <w:szCs w:val="20"/>
          <w:lang w:val="en-ID"/>
        </w:rPr>
        <w:t>dengan</w:t>
      </w:r>
      <w:proofErr w:type="spellEnd"/>
      <w:r w:rsidR="00B37E16" w:rsidRPr="00A304D8">
        <w:rPr>
          <w:rFonts w:ascii="Calibri" w:hAnsi="Calibri" w:cs="Calibri"/>
          <w:sz w:val="20"/>
          <w:szCs w:val="20"/>
          <w:lang w:val="en-ID"/>
        </w:rPr>
        <w:t xml:space="preserve"> </w:t>
      </w:r>
      <w:proofErr w:type="spellStart"/>
      <w:r w:rsidR="00B37E16" w:rsidRPr="00A304D8">
        <w:rPr>
          <w:rFonts w:ascii="Calibri" w:hAnsi="Calibri" w:cs="Calibri"/>
          <w:sz w:val="20"/>
          <w:szCs w:val="20"/>
          <w:lang w:val="en-ID"/>
        </w:rPr>
        <w:t>harga</w:t>
      </w:r>
      <w:proofErr w:type="spellEnd"/>
      <w:r w:rsidR="00B37E16" w:rsidRPr="00A304D8">
        <w:rPr>
          <w:rFonts w:ascii="Calibri" w:hAnsi="Calibri" w:cs="Calibri"/>
          <w:b/>
          <w:bCs/>
          <w:sz w:val="20"/>
          <w:szCs w:val="20"/>
          <w:lang w:val="en-ID"/>
        </w:rPr>
        <w:t xml:space="preserve">: </w:t>
      </w:r>
      <w:r w:rsidR="00C176DC" w:rsidRPr="00A304D8">
        <w:rPr>
          <w:rFonts w:ascii="Calibri" w:hAnsi="Calibri" w:cs="Calibri"/>
          <w:b/>
          <w:bCs/>
          <w:sz w:val="20"/>
          <w:szCs w:val="20"/>
          <w:lang w:val="en-ID"/>
        </w:rPr>
        <w:t>Rp.7,8</w:t>
      </w:r>
      <w:r w:rsidR="00453098" w:rsidRPr="00A304D8">
        <w:rPr>
          <w:rFonts w:ascii="Calibri" w:hAnsi="Calibri" w:cs="Calibri"/>
          <w:b/>
          <w:bCs/>
          <w:sz w:val="20"/>
          <w:szCs w:val="20"/>
          <w:lang w:val="en-ID"/>
        </w:rPr>
        <w:t>11</w:t>
      </w:r>
      <w:r w:rsidR="00C176DC" w:rsidRPr="00A304D8">
        <w:rPr>
          <w:rFonts w:ascii="Calibri" w:hAnsi="Calibri" w:cs="Calibri"/>
          <w:b/>
          <w:bCs/>
          <w:sz w:val="20"/>
          <w:szCs w:val="20"/>
          <w:lang w:val="en-ID"/>
        </w:rPr>
        <w:t>,000</w:t>
      </w:r>
      <w:r w:rsidR="00B37E16" w:rsidRPr="00A304D8">
        <w:rPr>
          <w:rFonts w:ascii="Calibri" w:hAnsi="Calibri" w:cs="Calibri"/>
          <w:b/>
          <w:bCs/>
          <w:sz w:val="20"/>
          <w:szCs w:val="20"/>
          <w:lang w:val="en-ID"/>
        </w:rPr>
        <w:t xml:space="preserve">,- </w:t>
      </w:r>
      <w:r w:rsidR="00B37E16" w:rsidRPr="00A304D8">
        <w:rPr>
          <w:rFonts w:ascii="Calibri" w:hAnsi="Calibri" w:cs="Calibri"/>
          <w:i/>
          <w:iCs/>
          <w:sz w:val="20"/>
          <w:szCs w:val="20"/>
          <w:lang w:val="en-ID"/>
        </w:rPr>
        <w:t>(</w:t>
      </w:r>
      <w:proofErr w:type="spellStart"/>
      <w:r w:rsidR="00B37E16" w:rsidRPr="00A304D8">
        <w:rPr>
          <w:rFonts w:ascii="Calibri" w:hAnsi="Calibri" w:cs="Calibri"/>
          <w:i/>
          <w:iCs/>
          <w:sz w:val="20"/>
          <w:szCs w:val="20"/>
          <w:lang w:val="en-ID"/>
        </w:rPr>
        <w:t>harga</w:t>
      </w:r>
      <w:proofErr w:type="spellEnd"/>
      <w:r w:rsidR="00B37E16" w:rsidRPr="00A304D8">
        <w:rPr>
          <w:rFonts w:ascii="Calibri" w:hAnsi="Calibri" w:cs="Calibri"/>
          <w:i/>
          <w:iCs/>
          <w:sz w:val="20"/>
          <w:szCs w:val="20"/>
          <w:lang w:val="en-ID"/>
        </w:rPr>
        <w:t xml:space="preserve"> </w:t>
      </w:r>
      <w:proofErr w:type="spellStart"/>
      <w:r w:rsidR="00B37E16" w:rsidRPr="00A304D8">
        <w:rPr>
          <w:rFonts w:ascii="Calibri" w:hAnsi="Calibri" w:cs="Calibri"/>
          <w:i/>
          <w:iCs/>
          <w:sz w:val="20"/>
          <w:szCs w:val="20"/>
          <w:lang w:val="en-ID"/>
        </w:rPr>
        <w:t>sudah</w:t>
      </w:r>
      <w:proofErr w:type="spellEnd"/>
      <w:r w:rsidR="00B37E16" w:rsidRPr="00A304D8">
        <w:rPr>
          <w:rFonts w:ascii="Calibri" w:hAnsi="Calibri" w:cs="Calibri"/>
          <w:i/>
          <w:iCs/>
          <w:sz w:val="20"/>
          <w:szCs w:val="20"/>
          <w:lang w:val="en-ID"/>
        </w:rPr>
        <w:t xml:space="preserve"> </w:t>
      </w:r>
      <w:proofErr w:type="spellStart"/>
      <w:r w:rsidR="00B37E16" w:rsidRPr="00A304D8">
        <w:rPr>
          <w:rFonts w:ascii="Calibri" w:hAnsi="Calibri" w:cs="Calibri"/>
          <w:i/>
          <w:iCs/>
          <w:sz w:val="20"/>
          <w:szCs w:val="20"/>
          <w:lang w:val="en-ID"/>
        </w:rPr>
        <w:t>termasuk</w:t>
      </w:r>
      <w:proofErr w:type="spellEnd"/>
      <w:r w:rsidR="00B37E16" w:rsidRPr="00A304D8">
        <w:rPr>
          <w:rFonts w:ascii="Calibri" w:hAnsi="Calibri" w:cs="Calibri"/>
          <w:i/>
          <w:iCs/>
          <w:sz w:val="20"/>
          <w:szCs w:val="20"/>
          <w:lang w:val="en-ID"/>
        </w:rPr>
        <w:t xml:space="preserve"> PPN 11%)</w:t>
      </w:r>
    </w:p>
    <w:p w14:paraId="2E632F12" w14:textId="0C33CB48" w:rsidR="00AD40B4" w:rsidRPr="00A304D8" w:rsidRDefault="00046CC0" w:rsidP="00061337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 w:rsidRPr="00A304D8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0A5236" wp14:editId="3900BF47">
            <wp:simplePos x="0" y="0"/>
            <wp:positionH relativeFrom="margin">
              <wp:posOffset>0</wp:posOffset>
            </wp:positionH>
            <wp:positionV relativeFrom="paragraph">
              <wp:posOffset>335280</wp:posOffset>
            </wp:positionV>
            <wp:extent cx="5898515" cy="1619250"/>
            <wp:effectExtent l="0" t="0" r="6985" b="0"/>
            <wp:wrapTopAndBottom/>
            <wp:docPr id="1798702402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2402" name="Picture 1" descr="A blue and white business car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089" cy="161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40B4" w:rsidRPr="00A304D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FD9A" w14:textId="77777777" w:rsidR="00766035" w:rsidRDefault="00766035" w:rsidP="000E457F">
      <w:pPr>
        <w:spacing w:after="0" w:line="240" w:lineRule="auto"/>
      </w:pPr>
      <w:r>
        <w:separator/>
      </w:r>
    </w:p>
  </w:endnote>
  <w:endnote w:type="continuationSeparator" w:id="0">
    <w:p w14:paraId="06727AE9" w14:textId="77777777" w:rsidR="00766035" w:rsidRDefault="00766035" w:rsidP="000E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C1D1" w14:textId="77777777" w:rsidR="00766035" w:rsidRDefault="00766035" w:rsidP="000E457F">
      <w:pPr>
        <w:spacing w:after="0" w:line="240" w:lineRule="auto"/>
      </w:pPr>
      <w:r>
        <w:separator/>
      </w:r>
    </w:p>
  </w:footnote>
  <w:footnote w:type="continuationSeparator" w:id="0">
    <w:p w14:paraId="2B4BF22B" w14:textId="77777777" w:rsidR="00766035" w:rsidRDefault="00766035" w:rsidP="000E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0CAC" w14:textId="176C8001" w:rsidR="004D2A3C" w:rsidRPr="001E2C13" w:rsidRDefault="008A1626" w:rsidP="001E2C13">
    <w:pPr>
      <w:pStyle w:val="Header"/>
      <w:jc w:val="both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8776887" wp14:editId="0E2048AF">
          <wp:simplePos x="0" y="0"/>
          <wp:positionH relativeFrom="margin">
            <wp:posOffset>4886325</wp:posOffset>
          </wp:positionH>
          <wp:positionV relativeFrom="paragraph">
            <wp:posOffset>-104775</wp:posOffset>
          </wp:positionV>
          <wp:extent cx="1057275" cy="409755"/>
          <wp:effectExtent l="0" t="0" r="0" b="9525"/>
          <wp:wrapNone/>
          <wp:docPr id="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0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A3C">
      <w:rPr>
        <w:noProof/>
      </w:rPr>
      <w:drawing>
        <wp:anchor distT="0" distB="0" distL="114300" distR="114300" simplePos="0" relativeHeight="251658240" behindDoc="0" locked="0" layoutInCell="1" allowOverlap="1" wp14:anchorId="504FB277" wp14:editId="362E13FD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133475" cy="352425"/>
          <wp:effectExtent l="0" t="0" r="9525" b="9525"/>
          <wp:wrapThrough wrapText="bothSides">
            <wp:wrapPolygon edited="0">
              <wp:start x="0" y="0"/>
              <wp:lineTo x="0" y="21016"/>
              <wp:lineTo x="21418" y="21016"/>
              <wp:lineTo x="21418" y="0"/>
              <wp:lineTo x="0" y="0"/>
            </wp:wrapPolygon>
          </wp:wrapThrough>
          <wp:docPr id="26100006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00061" name="Picture 1" descr="A black text on a whit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A70">
      <w:rPr>
        <w:noProof/>
      </w:rPr>
      <w:tab/>
    </w:r>
    <w:r w:rsidR="00766A70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461"/>
    <w:multiLevelType w:val="hybridMultilevel"/>
    <w:tmpl w:val="D36670C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73D"/>
    <w:multiLevelType w:val="multilevel"/>
    <w:tmpl w:val="F73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964B0"/>
    <w:multiLevelType w:val="multilevel"/>
    <w:tmpl w:val="1BCA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77AC1"/>
    <w:multiLevelType w:val="multilevel"/>
    <w:tmpl w:val="3646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A6FE7"/>
    <w:multiLevelType w:val="multilevel"/>
    <w:tmpl w:val="63B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06757"/>
    <w:multiLevelType w:val="hybridMultilevel"/>
    <w:tmpl w:val="5DB41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735381">
    <w:abstractNumId w:val="2"/>
  </w:num>
  <w:num w:numId="2" w16cid:durableId="1304892227">
    <w:abstractNumId w:val="1"/>
  </w:num>
  <w:num w:numId="3" w16cid:durableId="1582058481">
    <w:abstractNumId w:val="4"/>
  </w:num>
  <w:num w:numId="4" w16cid:durableId="2132476491">
    <w:abstractNumId w:val="3"/>
  </w:num>
  <w:num w:numId="5" w16cid:durableId="16152943">
    <w:abstractNumId w:val="5"/>
  </w:num>
  <w:num w:numId="6" w16cid:durableId="52437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3D"/>
    <w:rsid w:val="000004B2"/>
    <w:rsid w:val="00003793"/>
    <w:rsid w:val="00004F31"/>
    <w:rsid w:val="000075B9"/>
    <w:rsid w:val="0001408B"/>
    <w:rsid w:val="000247F2"/>
    <w:rsid w:val="00024CA3"/>
    <w:rsid w:val="000273DD"/>
    <w:rsid w:val="000300F4"/>
    <w:rsid w:val="00046CC0"/>
    <w:rsid w:val="00061337"/>
    <w:rsid w:val="000726C1"/>
    <w:rsid w:val="00081B92"/>
    <w:rsid w:val="000B29AC"/>
    <w:rsid w:val="000C7F2A"/>
    <w:rsid w:val="000E457F"/>
    <w:rsid w:val="000F3A9D"/>
    <w:rsid w:val="001021D1"/>
    <w:rsid w:val="001067CD"/>
    <w:rsid w:val="001069B1"/>
    <w:rsid w:val="001657DE"/>
    <w:rsid w:val="001708E9"/>
    <w:rsid w:val="00175CDE"/>
    <w:rsid w:val="001826DF"/>
    <w:rsid w:val="001A3273"/>
    <w:rsid w:val="001B01F4"/>
    <w:rsid w:val="001B4B9D"/>
    <w:rsid w:val="001B4E54"/>
    <w:rsid w:val="001E2C13"/>
    <w:rsid w:val="001F5F2E"/>
    <w:rsid w:val="002041E4"/>
    <w:rsid w:val="002167B2"/>
    <w:rsid w:val="0021746A"/>
    <w:rsid w:val="00217C6D"/>
    <w:rsid w:val="00250BE2"/>
    <w:rsid w:val="002748F0"/>
    <w:rsid w:val="00290C49"/>
    <w:rsid w:val="0029178D"/>
    <w:rsid w:val="002A02A6"/>
    <w:rsid w:val="002A5ED9"/>
    <w:rsid w:val="002D0EDD"/>
    <w:rsid w:val="002E6FA3"/>
    <w:rsid w:val="0032256F"/>
    <w:rsid w:val="00323244"/>
    <w:rsid w:val="0032739A"/>
    <w:rsid w:val="00333732"/>
    <w:rsid w:val="003C303D"/>
    <w:rsid w:val="003F1170"/>
    <w:rsid w:val="00411F13"/>
    <w:rsid w:val="00441DAA"/>
    <w:rsid w:val="00444606"/>
    <w:rsid w:val="00445A42"/>
    <w:rsid w:val="00450940"/>
    <w:rsid w:val="00453098"/>
    <w:rsid w:val="00453A12"/>
    <w:rsid w:val="00462C6A"/>
    <w:rsid w:val="0047054F"/>
    <w:rsid w:val="00475C15"/>
    <w:rsid w:val="004802B2"/>
    <w:rsid w:val="004A5AFE"/>
    <w:rsid w:val="004D2A3C"/>
    <w:rsid w:val="004E4EAF"/>
    <w:rsid w:val="005317E2"/>
    <w:rsid w:val="00550384"/>
    <w:rsid w:val="00570569"/>
    <w:rsid w:val="00571BAA"/>
    <w:rsid w:val="00592404"/>
    <w:rsid w:val="005A0B8C"/>
    <w:rsid w:val="005C1C13"/>
    <w:rsid w:val="005D2D82"/>
    <w:rsid w:val="005E0992"/>
    <w:rsid w:val="00604FC9"/>
    <w:rsid w:val="00605FB9"/>
    <w:rsid w:val="0061606B"/>
    <w:rsid w:val="00621EF3"/>
    <w:rsid w:val="00637CC6"/>
    <w:rsid w:val="006472F5"/>
    <w:rsid w:val="00652CF8"/>
    <w:rsid w:val="00665BB2"/>
    <w:rsid w:val="00665CCC"/>
    <w:rsid w:val="00687032"/>
    <w:rsid w:val="006939C7"/>
    <w:rsid w:val="006A5C9F"/>
    <w:rsid w:val="006B4B36"/>
    <w:rsid w:val="006C681C"/>
    <w:rsid w:val="006D4DBB"/>
    <w:rsid w:val="006F67C7"/>
    <w:rsid w:val="006F753B"/>
    <w:rsid w:val="00732888"/>
    <w:rsid w:val="0073373E"/>
    <w:rsid w:val="00756B8E"/>
    <w:rsid w:val="00766035"/>
    <w:rsid w:val="00766A70"/>
    <w:rsid w:val="00777F87"/>
    <w:rsid w:val="00781EB4"/>
    <w:rsid w:val="007A5450"/>
    <w:rsid w:val="007B4CDA"/>
    <w:rsid w:val="007B76DC"/>
    <w:rsid w:val="007B7C32"/>
    <w:rsid w:val="007C2B0B"/>
    <w:rsid w:val="00833898"/>
    <w:rsid w:val="00855323"/>
    <w:rsid w:val="00856AE7"/>
    <w:rsid w:val="00857438"/>
    <w:rsid w:val="008656A8"/>
    <w:rsid w:val="00866B83"/>
    <w:rsid w:val="008778D3"/>
    <w:rsid w:val="008855FF"/>
    <w:rsid w:val="008A1626"/>
    <w:rsid w:val="008A53A6"/>
    <w:rsid w:val="008C7B3B"/>
    <w:rsid w:val="008E566B"/>
    <w:rsid w:val="008E5FEA"/>
    <w:rsid w:val="008F09FD"/>
    <w:rsid w:val="00900E29"/>
    <w:rsid w:val="00912C99"/>
    <w:rsid w:val="00916B5A"/>
    <w:rsid w:val="00923B8C"/>
    <w:rsid w:val="0094183D"/>
    <w:rsid w:val="00956259"/>
    <w:rsid w:val="009753CA"/>
    <w:rsid w:val="0097669A"/>
    <w:rsid w:val="0098055E"/>
    <w:rsid w:val="00981A5D"/>
    <w:rsid w:val="009B55AD"/>
    <w:rsid w:val="009B5AA1"/>
    <w:rsid w:val="009D2E93"/>
    <w:rsid w:val="009F31B0"/>
    <w:rsid w:val="009F3620"/>
    <w:rsid w:val="009F5DFE"/>
    <w:rsid w:val="00A2724A"/>
    <w:rsid w:val="00A304D8"/>
    <w:rsid w:val="00A5383B"/>
    <w:rsid w:val="00A5566F"/>
    <w:rsid w:val="00A728F0"/>
    <w:rsid w:val="00A8756C"/>
    <w:rsid w:val="00A95E3C"/>
    <w:rsid w:val="00AB5121"/>
    <w:rsid w:val="00AC3187"/>
    <w:rsid w:val="00AC5815"/>
    <w:rsid w:val="00AD40B4"/>
    <w:rsid w:val="00AD7836"/>
    <w:rsid w:val="00AD7866"/>
    <w:rsid w:val="00B0464C"/>
    <w:rsid w:val="00B059A8"/>
    <w:rsid w:val="00B169B5"/>
    <w:rsid w:val="00B365BF"/>
    <w:rsid w:val="00B37E16"/>
    <w:rsid w:val="00B670E0"/>
    <w:rsid w:val="00B71EB8"/>
    <w:rsid w:val="00B83087"/>
    <w:rsid w:val="00B873C8"/>
    <w:rsid w:val="00BA252E"/>
    <w:rsid w:val="00BF3527"/>
    <w:rsid w:val="00C176DC"/>
    <w:rsid w:val="00C506EE"/>
    <w:rsid w:val="00C55EB7"/>
    <w:rsid w:val="00C67721"/>
    <w:rsid w:val="00C84F48"/>
    <w:rsid w:val="00C9181B"/>
    <w:rsid w:val="00CA356A"/>
    <w:rsid w:val="00CA4B0C"/>
    <w:rsid w:val="00CA7376"/>
    <w:rsid w:val="00CB5C24"/>
    <w:rsid w:val="00CC07AF"/>
    <w:rsid w:val="00CF50E0"/>
    <w:rsid w:val="00D06367"/>
    <w:rsid w:val="00D10D97"/>
    <w:rsid w:val="00D16D2E"/>
    <w:rsid w:val="00D26909"/>
    <w:rsid w:val="00D27874"/>
    <w:rsid w:val="00D31A3F"/>
    <w:rsid w:val="00D33321"/>
    <w:rsid w:val="00D400AA"/>
    <w:rsid w:val="00D56224"/>
    <w:rsid w:val="00D60362"/>
    <w:rsid w:val="00D7057A"/>
    <w:rsid w:val="00D949BF"/>
    <w:rsid w:val="00DC0177"/>
    <w:rsid w:val="00DC27DE"/>
    <w:rsid w:val="00DC5813"/>
    <w:rsid w:val="00DC73FC"/>
    <w:rsid w:val="00DF16D8"/>
    <w:rsid w:val="00DF188F"/>
    <w:rsid w:val="00DF5241"/>
    <w:rsid w:val="00E07E4B"/>
    <w:rsid w:val="00E33B92"/>
    <w:rsid w:val="00E55F08"/>
    <w:rsid w:val="00E66891"/>
    <w:rsid w:val="00E766F5"/>
    <w:rsid w:val="00E83C03"/>
    <w:rsid w:val="00E930D4"/>
    <w:rsid w:val="00EA6636"/>
    <w:rsid w:val="00EE4084"/>
    <w:rsid w:val="00EE6C2A"/>
    <w:rsid w:val="00F07772"/>
    <w:rsid w:val="00F10FEE"/>
    <w:rsid w:val="00F224C4"/>
    <w:rsid w:val="00F2664F"/>
    <w:rsid w:val="00F27F52"/>
    <w:rsid w:val="00F33D1F"/>
    <w:rsid w:val="00F379ED"/>
    <w:rsid w:val="00F51520"/>
    <w:rsid w:val="00F62CCD"/>
    <w:rsid w:val="00F960E6"/>
    <w:rsid w:val="00F97BA4"/>
    <w:rsid w:val="00FA4807"/>
    <w:rsid w:val="00FB7479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3F800"/>
  <w15:chartTrackingRefBased/>
  <w15:docId w15:val="{1F374843-0670-4BE6-8FBC-E484CAAC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1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41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7F"/>
  </w:style>
  <w:style w:type="paragraph" w:styleId="Footer">
    <w:name w:val="footer"/>
    <w:basedOn w:val="Normal"/>
    <w:link w:val="FooterChar"/>
    <w:uiPriority w:val="99"/>
    <w:unhideWhenUsed/>
    <w:rsid w:val="000E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7F"/>
  </w:style>
  <w:style w:type="paragraph" w:styleId="Revision">
    <w:name w:val="Revision"/>
    <w:hidden/>
    <w:uiPriority w:val="99"/>
    <w:semiHidden/>
    <w:rsid w:val="00E33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0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251D-CC99-465F-93B4-BD24D1E7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2749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6</cp:revision>
  <cp:lastPrinted>2025-10-24T03:23:00Z</cp:lastPrinted>
  <dcterms:created xsi:type="dcterms:W3CDTF">2025-10-24T03:23:00Z</dcterms:created>
  <dcterms:modified xsi:type="dcterms:W3CDTF">2025-10-24T06:36:00Z</dcterms:modified>
</cp:coreProperties>
</file>